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 okresie ostatnich 3 lat, licząc wst</w:t>
      </w:r>
      <w:bookmarkStart w:id="2" w:name="_GoBack"/>
      <w:bookmarkEnd w:id="2"/>
      <w:r w:rsidR="006C1B17" w:rsidRPr="006C1B17">
        <w:rPr>
          <w:rFonts w:asciiTheme="majorHAnsi" w:hAnsiTheme="majorHAnsi"/>
          <w:b/>
          <w:bCs/>
          <w:sz w:val="18"/>
          <w:szCs w:val="20"/>
        </w:rPr>
        <w:t>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energii elektrycznej przy czym każde z tych zamówień było świadczone przez okr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es nie krótszy niż 12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AC7C6C">
        <w:rPr>
          <w:rFonts w:asciiTheme="majorHAnsi" w:hAnsiTheme="majorHAnsi"/>
          <w:b/>
          <w:bCs/>
          <w:sz w:val="18"/>
          <w:szCs w:val="20"/>
        </w:rPr>
        <w:t>ć dostaw była nie mniejsza niż 200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00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4C7755"/>
    <w:rsid w:val="006C1B17"/>
    <w:rsid w:val="00AC7C6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2022-07-05T08:39:00Z</dcterms:created>
  <dcterms:modified xsi:type="dcterms:W3CDTF">2022-07-07T16:36:00Z</dcterms:modified>
</cp:coreProperties>
</file>