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55D" w:rsidRPr="00AB342F" w:rsidRDefault="00AB342F" w:rsidP="00B5355D">
      <w:pPr>
        <w:pStyle w:val="Nagwek2"/>
        <w:keepNext w:val="0"/>
        <w:rPr>
          <w:sz w:val="40"/>
          <w:szCs w:val="40"/>
        </w:rPr>
      </w:pPr>
      <w:bookmarkStart w:id="0" w:name="_Toc288052774"/>
      <w:bookmarkStart w:id="1" w:name="_Toc295304181"/>
      <w:r>
        <w:rPr>
          <w:sz w:val="40"/>
          <w:szCs w:val="40"/>
        </w:rPr>
        <w:t xml:space="preserve">SST        </w:t>
      </w:r>
      <w:r w:rsidR="00B5355D" w:rsidRPr="00AB342F">
        <w:rPr>
          <w:sz w:val="40"/>
          <w:szCs w:val="40"/>
        </w:rPr>
        <w:t>D-02.03.01. Wykonanie nasypów</w:t>
      </w:r>
      <w:bookmarkEnd w:id="0"/>
      <w:bookmarkEnd w:id="1"/>
      <w:r w:rsidR="00B5355D" w:rsidRPr="00AB342F">
        <w:rPr>
          <w:sz w:val="40"/>
          <w:szCs w:val="40"/>
        </w:rPr>
        <w:t xml:space="preserve"> </w:t>
      </w:r>
    </w:p>
    <w:p w:rsidR="00B5355D" w:rsidRPr="0006591E" w:rsidRDefault="00B5355D" w:rsidP="00B5355D">
      <w:pPr>
        <w:pStyle w:val="Nagwek2"/>
        <w:keepLines/>
        <w:rPr>
          <w:sz w:val="24"/>
          <w:szCs w:val="24"/>
        </w:rPr>
      </w:pPr>
    </w:p>
    <w:p w:rsidR="00B5355D" w:rsidRPr="0006591E" w:rsidRDefault="00B5355D" w:rsidP="00B5355D">
      <w:pPr>
        <w:spacing w:before="240"/>
        <w:jc w:val="both"/>
        <w:rPr>
          <w:b/>
          <w:sz w:val="20"/>
        </w:rPr>
      </w:pPr>
      <w:r w:rsidRPr="0006591E">
        <w:rPr>
          <w:b/>
          <w:sz w:val="20"/>
        </w:rPr>
        <w:t>1. WSTĘP</w:t>
      </w:r>
    </w:p>
    <w:p w:rsidR="00B5355D" w:rsidRPr="0006591E" w:rsidRDefault="00B5355D" w:rsidP="00B5355D">
      <w:pPr>
        <w:jc w:val="both"/>
        <w:rPr>
          <w:b/>
          <w:sz w:val="20"/>
          <w:u w:val="single"/>
        </w:rPr>
      </w:pPr>
      <w:r w:rsidRPr="0006591E">
        <w:rPr>
          <w:b/>
          <w:sz w:val="20"/>
          <w:u w:val="single"/>
        </w:rPr>
        <w:t>1.1. Przedmiot specyfikacji technicznej (STWIORB)</w:t>
      </w:r>
    </w:p>
    <w:p w:rsidR="00D85BD2" w:rsidRPr="00D85BD2" w:rsidRDefault="00B5355D" w:rsidP="00D85BD2">
      <w:pPr>
        <w:keepNext/>
        <w:keepLines/>
        <w:rPr>
          <w:sz w:val="22"/>
          <w:szCs w:val="22"/>
        </w:rPr>
      </w:pPr>
      <w:r w:rsidRPr="0006591E">
        <w:rPr>
          <w:sz w:val="20"/>
        </w:rPr>
        <w:t>Przedmiotem niniejszej STWIORB są wymagania dotyczące wykonania i odbioru robót związanych z bud</w:t>
      </w:r>
      <w:r w:rsidR="00DA57BC">
        <w:rPr>
          <w:b/>
          <w:sz w:val="20"/>
        </w:rPr>
        <w:t>ową nasypów, przy przebudowie ścieżki rowerowej na zadaniu inwestycyjnym pn</w:t>
      </w:r>
      <w:r w:rsidR="00DA57BC" w:rsidRPr="00D85BD2">
        <w:rPr>
          <w:b/>
          <w:sz w:val="22"/>
          <w:szCs w:val="22"/>
        </w:rPr>
        <w:t>.</w:t>
      </w:r>
      <w:r w:rsidR="00D85BD2" w:rsidRPr="00D85BD2">
        <w:rPr>
          <w:b/>
          <w:sz w:val="22"/>
          <w:szCs w:val="22"/>
        </w:rPr>
        <w:t>:</w:t>
      </w:r>
      <w:r w:rsidR="00DA57BC" w:rsidRPr="00D85BD2">
        <w:rPr>
          <w:b/>
          <w:sz w:val="22"/>
          <w:szCs w:val="22"/>
        </w:rPr>
        <w:t xml:space="preserve"> </w:t>
      </w:r>
      <w:r w:rsidR="00D85BD2" w:rsidRPr="00D85BD2">
        <w:rPr>
          <w:sz w:val="22"/>
          <w:szCs w:val="22"/>
        </w:rPr>
        <w:t>„</w:t>
      </w:r>
      <w:r w:rsidR="00D85BD2" w:rsidRPr="00D85BD2">
        <w:rPr>
          <w:b/>
          <w:bCs/>
          <w:color w:val="000000"/>
          <w:sz w:val="22"/>
          <w:szCs w:val="22"/>
        </w:rPr>
        <w:t>Utwardzenie nawierzchni ścieżki rowerowej w Żarówce (przebudowa drogi wewnętrznej) w km 0+115 do 0+300 i w km 0+ 420 do 0+485 ”.</w:t>
      </w:r>
      <w:r w:rsidR="00D85BD2" w:rsidRPr="00D85BD2">
        <w:rPr>
          <w:sz w:val="22"/>
          <w:szCs w:val="22"/>
        </w:rPr>
        <w:t xml:space="preserve">      </w:t>
      </w:r>
    </w:p>
    <w:p w:rsidR="00D85BD2" w:rsidRDefault="00D85BD2" w:rsidP="00D85BD2">
      <w:pPr>
        <w:ind w:firstLine="360"/>
        <w:rPr>
          <w:b/>
        </w:rPr>
      </w:pPr>
    </w:p>
    <w:p w:rsidR="00DA57BC" w:rsidRPr="00DA57BC" w:rsidRDefault="00DA57BC" w:rsidP="00DA57BC">
      <w:pPr>
        <w:keepNext/>
        <w:keepLines/>
        <w:rPr>
          <w:sz w:val="20"/>
          <w:szCs w:val="20"/>
        </w:rPr>
      </w:pPr>
      <w:r w:rsidRPr="00DA57BC">
        <w:rPr>
          <w:sz w:val="20"/>
          <w:szCs w:val="20"/>
        </w:rPr>
        <w:t xml:space="preserve">      </w:t>
      </w:r>
    </w:p>
    <w:p w:rsidR="00B5355D" w:rsidRPr="00DA57BC" w:rsidRDefault="00B5355D" w:rsidP="00B5355D">
      <w:pPr>
        <w:pStyle w:val="Tekstpodstawowy"/>
        <w:keepNext/>
        <w:keepLines/>
        <w:jc w:val="both"/>
        <w:rPr>
          <w:rFonts w:ascii="Times New Roman" w:hAnsi="Times New Roman"/>
          <w:b w:val="0"/>
          <w:sz w:val="20"/>
        </w:rPr>
      </w:pPr>
    </w:p>
    <w:p w:rsidR="00B5355D" w:rsidRPr="0006591E" w:rsidRDefault="00B5355D" w:rsidP="00B5355D">
      <w:pPr>
        <w:jc w:val="both"/>
        <w:rPr>
          <w:b/>
          <w:sz w:val="20"/>
          <w:u w:val="single"/>
        </w:rPr>
      </w:pPr>
      <w:r w:rsidRPr="0006591E">
        <w:rPr>
          <w:b/>
          <w:sz w:val="20"/>
          <w:u w:val="single"/>
        </w:rPr>
        <w:t>1.2. Zakres stosowania STWIORB</w:t>
      </w:r>
    </w:p>
    <w:p w:rsidR="00B5355D" w:rsidRPr="0006591E" w:rsidRDefault="00B5355D" w:rsidP="00B5355D">
      <w:pPr>
        <w:pStyle w:val="Tekstpodstawowy"/>
        <w:keepNext/>
        <w:keepLines/>
        <w:jc w:val="both"/>
        <w:rPr>
          <w:rFonts w:ascii="Times New Roman" w:hAnsi="Times New Roman"/>
          <w:b w:val="0"/>
          <w:sz w:val="20"/>
        </w:rPr>
      </w:pPr>
      <w:r w:rsidRPr="0006591E">
        <w:rPr>
          <w:rFonts w:ascii="Times New Roman" w:hAnsi="Times New Roman"/>
          <w:b w:val="0"/>
          <w:sz w:val="20"/>
        </w:rPr>
        <w:t xml:space="preserve">STWIORB jest stosowana jako dokument przetargowy i kontraktowy przy zlecaniu i realizacji robót wymienionych w p. 1.1. </w:t>
      </w:r>
    </w:p>
    <w:p w:rsidR="00B5355D" w:rsidRPr="0006591E" w:rsidRDefault="00B5355D" w:rsidP="00B5355D">
      <w:pPr>
        <w:jc w:val="both"/>
        <w:rPr>
          <w:b/>
          <w:sz w:val="20"/>
          <w:u w:val="single"/>
        </w:rPr>
      </w:pPr>
      <w:r w:rsidRPr="0006591E">
        <w:rPr>
          <w:b/>
          <w:sz w:val="20"/>
          <w:u w:val="single"/>
        </w:rPr>
        <w:t>1.3. Zakres robót ujętych w STWIORB</w:t>
      </w:r>
    </w:p>
    <w:p w:rsidR="00B5355D" w:rsidRPr="0006591E" w:rsidRDefault="00B5355D" w:rsidP="00B5355D">
      <w:pPr>
        <w:tabs>
          <w:tab w:val="left" w:pos="1008"/>
          <w:tab w:val="left" w:pos="1134"/>
          <w:tab w:val="left" w:pos="7459"/>
        </w:tabs>
        <w:jc w:val="both"/>
        <w:rPr>
          <w:strike/>
          <w:sz w:val="20"/>
        </w:rPr>
      </w:pPr>
      <w:r w:rsidRPr="0006591E">
        <w:rPr>
          <w:sz w:val="20"/>
        </w:rPr>
        <w:t>Ustalenia zawarte w niniejszej STWIORB dotyczą wykonania nasypu.</w:t>
      </w:r>
    </w:p>
    <w:p w:rsidR="00B5355D" w:rsidRPr="0006591E" w:rsidRDefault="00B5355D" w:rsidP="00B5355D">
      <w:pPr>
        <w:tabs>
          <w:tab w:val="left" w:pos="753"/>
        </w:tabs>
        <w:jc w:val="both"/>
        <w:rPr>
          <w:b/>
          <w:sz w:val="20"/>
          <w:u w:val="single"/>
        </w:rPr>
      </w:pPr>
      <w:r w:rsidRPr="0006591E">
        <w:rPr>
          <w:b/>
          <w:sz w:val="20"/>
          <w:u w:val="single"/>
        </w:rPr>
        <w:t>1.4. Określenia podstawowe</w:t>
      </w:r>
    </w:p>
    <w:p w:rsidR="00B5355D" w:rsidRPr="0006591E" w:rsidRDefault="00B5355D" w:rsidP="00B5355D">
      <w:pPr>
        <w:tabs>
          <w:tab w:val="left" w:pos="792"/>
        </w:tabs>
        <w:jc w:val="both"/>
        <w:rPr>
          <w:sz w:val="20"/>
        </w:rPr>
      </w:pPr>
      <w:r w:rsidRPr="0006591E">
        <w:rPr>
          <w:sz w:val="20"/>
        </w:rPr>
        <w:t>Wszystkie określenia</w:t>
      </w:r>
      <w:r w:rsidRPr="0006591E">
        <w:rPr>
          <w:b/>
          <w:sz w:val="20"/>
        </w:rPr>
        <w:t xml:space="preserve"> -</w:t>
      </w:r>
      <w:r w:rsidRPr="0006591E">
        <w:rPr>
          <w:sz w:val="20"/>
        </w:rPr>
        <w:t xml:space="preserve"> są zgodne z obowiązującymi, odpowiednimi polskimi normami i z definicjami podanymi w STWIORB D-02.00.01. "Wymagania ogólne" pkt 1.4.</w:t>
      </w:r>
    </w:p>
    <w:p w:rsidR="00B5355D" w:rsidRPr="0006591E" w:rsidRDefault="00B5355D" w:rsidP="00B5355D">
      <w:pPr>
        <w:jc w:val="both"/>
        <w:rPr>
          <w:b/>
          <w:sz w:val="20"/>
          <w:u w:val="single"/>
        </w:rPr>
      </w:pPr>
      <w:r w:rsidRPr="0006591E">
        <w:rPr>
          <w:b/>
          <w:sz w:val="20"/>
          <w:u w:val="single"/>
        </w:rPr>
        <w:t>1.5. Ogólne wymagania dotyczące robót</w:t>
      </w:r>
    </w:p>
    <w:p w:rsidR="00B5355D" w:rsidRPr="0006591E" w:rsidRDefault="00B5355D" w:rsidP="00B5355D">
      <w:pPr>
        <w:jc w:val="both"/>
        <w:rPr>
          <w:sz w:val="20"/>
        </w:rPr>
      </w:pPr>
      <w:r w:rsidRPr="0006591E">
        <w:rPr>
          <w:sz w:val="20"/>
        </w:rPr>
        <w:t>Ogólne wymagania dotyczące robót podano w STWIORB D-M-02.00.01. "Wymagania ogólne" pkt 1.5.</w:t>
      </w:r>
    </w:p>
    <w:p w:rsidR="00B5355D" w:rsidRPr="0006591E" w:rsidRDefault="00B5355D" w:rsidP="00B5355D">
      <w:pPr>
        <w:spacing w:before="240"/>
        <w:jc w:val="both"/>
        <w:rPr>
          <w:b/>
          <w:sz w:val="20"/>
        </w:rPr>
      </w:pPr>
      <w:r w:rsidRPr="0006591E">
        <w:rPr>
          <w:b/>
          <w:sz w:val="20"/>
        </w:rPr>
        <w:t>2. MATERIAŁY</w:t>
      </w:r>
    </w:p>
    <w:p w:rsidR="00B5355D" w:rsidRPr="0006591E" w:rsidRDefault="00B5355D" w:rsidP="00B5355D">
      <w:pPr>
        <w:pStyle w:val="StandardowytekstZnak"/>
        <w:rPr>
          <w:b/>
          <w:u w:val="single"/>
        </w:rPr>
      </w:pPr>
      <w:bookmarkStart w:id="2" w:name="_Toc406295852"/>
      <w:bookmarkStart w:id="3" w:name="_Toc407161272"/>
      <w:r w:rsidRPr="0006591E">
        <w:rPr>
          <w:b/>
          <w:u w:val="single"/>
        </w:rPr>
        <w:t>2.1. Ogólne wymagania dotyczące materiałów</w:t>
      </w:r>
      <w:bookmarkEnd w:id="2"/>
      <w:bookmarkEnd w:id="3"/>
    </w:p>
    <w:p w:rsidR="00B5355D" w:rsidRPr="0006591E" w:rsidRDefault="00B5355D" w:rsidP="00B5355D">
      <w:pPr>
        <w:pStyle w:val="StandardowytekstZnak"/>
      </w:pPr>
      <w:r w:rsidRPr="0006591E">
        <w:t>Ogólne wymagania dotyczące materiałów, ich pozyskiwania i składowania, podano w STWIORB D-02.00.01 pkt 2.</w:t>
      </w:r>
    </w:p>
    <w:p w:rsidR="00B5355D" w:rsidRPr="0006591E" w:rsidRDefault="00B5355D" w:rsidP="00B5355D">
      <w:pPr>
        <w:pStyle w:val="StandardowytekstZnak"/>
        <w:rPr>
          <w:b/>
          <w:u w:val="single"/>
        </w:rPr>
      </w:pPr>
      <w:bookmarkStart w:id="4" w:name="_Toc406295853"/>
      <w:bookmarkStart w:id="5" w:name="_Toc407161273"/>
      <w:r w:rsidRPr="0006591E">
        <w:rPr>
          <w:b/>
          <w:u w:val="single"/>
        </w:rPr>
        <w:t xml:space="preserve">2.2. </w:t>
      </w:r>
      <w:bookmarkEnd w:id="4"/>
      <w:bookmarkEnd w:id="5"/>
      <w:r w:rsidRPr="0006591E">
        <w:rPr>
          <w:b/>
          <w:u w:val="single"/>
        </w:rPr>
        <w:t>Grunty i materiały do nasypów</w:t>
      </w:r>
    </w:p>
    <w:p w:rsidR="00B5355D" w:rsidRPr="0006591E" w:rsidRDefault="00B5355D" w:rsidP="00B5355D">
      <w:pPr>
        <w:pStyle w:val="StandardowytekstZnak"/>
      </w:pPr>
      <w:r w:rsidRPr="0006591E">
        <w:t>Grunty i materiały dopuszczone do budowy nasypów powinny spełniać następujące wymagania:</w:t>
      </w:r>
    </w:p>
    <w:p w:rsidR="00B5355D" w:rsidRPr="0006591E" w:rsidRDefault="00B5355D" w:rsidP="00B5355D">
      <w:pPr>
        <w:pStyle w:val="Tekstpodstawowy2"/>
        <w:numPr>
          <w:ilvl w:val="0"/>
          <w:numId w:val="10"/>
        </w:numPr>
        <w:tabs>
          <w:tab w:val="clear" w:pos="3240"/>
          <w:tab w:val="num" w:pos="360"/>
        </w:tabs>
        <w:spacing w:line="240" w:lineRule="auto"/>
        <w:ind w:left="3238" w:hanging="3238"/>
        <w:jc w:val="both"/>
        <w:rPr>
          <w:rFonts w:ascii="Times New Roman" w:hAnsi="Times New Roman"/>
          <w:sz w:val="20"/>
          <w:lang w:val="pl-PL"/>
        </w:rPr>
      </w:pPr>
      <w:r w:rsidRPr="0006591E">
        <w:rPr>
          <w:rFonts w:ascii="Times New Roman" w:hAnsi="Times New Roman"/>
          <w:sz w:val="20"/>
          <w:lang w:val="pl-PL"/>
        </w:rPr>
        <w:t>rodzaj gruntu: pospółki, piaski grube i średnie,</w:t>
      </w:r>
    </w:p>
    <w:p w:rsidR="00B5355D" w:rsidRPr="0006591E" w:rsidRDefault="00B5355D" w:rsidP="00B5355D">
      <w:pPr>
        <w:pStyle w:val="Tekstpodstawowy2"/>
        <w:numPr>
          <w:ilvl w:val="0"/>
          <w:numId w:val="10"/>
        </w:numPr>
        <w:tabs>
          <w:tab w:val="clear" w:pos="3240"/>
          <w:tab w:val="num" w:pos="360"/>
        </w:tabs>
        <w:spacing w:line="240" w:lineRule="auto"/>
        <w:ind w:left="3238" w:hanging="3238"/>
        <w:jc w:val="both"/>
        <w:rPr>
          <w:rFonts w:ascii="Times New Roman" w:hAnsi="Times New Roman"/>
          <w:sz w:val="20"/>
          <w:lang w:val="pl-PL"/>
        </w:rPr>
      </w:pPr>
      <w:r w:rsidRPr="0006591E">
        <w:rPr>
          <w:rFonts w:ascii="Times New Roman" w:hAnsi="Times New Roman"/>
          <w:sz w:val="20"/>
          <w:lang w:val="pl-PL"/>
        </w:rPr>
        <w:t xml:space="preserve">zawartość pyłów poniżej </w:t>
      </w:r>
      <w:smartTag w:uri="urn:schemas-microsoft-com:office:smarttags" w:element="metricconverter">
        <w:smartTagPr>
          <w:attr w:name="ProductID" w:val="0,063 mm"/>
        </w:smartTagPr>
        <w:r w:rsidRPr="0006591E">
          <w:rPr>
            <w:rFonts w:ascii="Times New Roman" w:hAnsi="Times New Roman"/>
            <w:sz w:val="20"/>
            <w:lang w:val="pl-PL"/>
          </w:rPr>
          <w:t>0,063 mm</w:t>
        </w:r>
      </w:smartTag>
      <w:r w:rsidRPr="0006591E">
        <w:rPr>
          <w:rFonts w:ascii="Times New Roman" w:hAnsi="Times New Roman"/>
          <w:sz w:val="20"/>
          <w:lang w:val="pl-PL"/>
        </w:rPr>
        <w:t xml:space="preserve">  ≤ 10%,</w:t>
      </w:r>
    </w:p>
    <w:p w:rsidR="00B5355D" w:rsidRPr="0006591E" w:rsidRDefault="00B5355D" w:rsidP="00B5355D">
      <w:pPr>
        <w:pStyle w:val="Tekstpodstawowy2"/>
        <w:numPr>
          <w:ilvl w:val="0"/>
          <w:numId w:val="10"/>
        </w:numPr>
        <w:tabs>
          <w:tab w:val="clear" w:pos="3240"/>
          <w:tab w:val="num" w:pos="360"/>
        </w:tabs>
        <w:spacing w:line="240" w:lineRule="auto"/>
        <w:ind w:left="3238" w:hanging="3238"/>
        <w:jc w:val="both"/>
        <w:rPr>
          <w:rFonts w:ascii="Times New Roman" w:hAnsi="Times New Roman"/>
          <w:sz w:val="20"/>
          <w:lang w:val="pl-PL"/>
        </w:rPr>
      </w:pPr>
      <w:r w:rsidRPr="0006591E">
        <w:rPr>
          <w:rFonts w:ascii="Times New Roman" w:hAnsi="Times New Roman"/>
          <w:sz w:val="20"/>
          <w:lang w:val="pl-PL"/>
        </w:rPr>
        <w:t>wskaźnik filtracji  k</w:t>
      </w:r>
      <w:r w:rsidRPr="0006591E">
        <w:rPr>
          <w:rFonts w:ascii="Times New Roman" w:hAnsi="Times New Roman"/>
          <w:sz w:val="20"/>
          <w:vertAlign w:val="subscript"/>
          <w:lang w:val="pl-PL"/>
        </w:rPr>
        <w:t xml:space="preserve">10 </w:t>
      </w:r>
      <w:r w:rsidRPr="0006591E">
        <w:rPr>
          <w:rFonts w:ascii="Times New Roman" w:hAnsi="Times New Roman"/>
          <w:sz w:val="20"/>
          <w:lang w:val="pl-PL"/>
        </w:rPr>
        <w:t>≥ 6 x 10</w:t>
      </w:r>
      <w:r w:rsidRPr="0006591E">
        <w:rPr>
          <w:rFonts w:ascii="Times New Roman" w:hAnsi="Times New Roman"/>
          <w:sz w:val="20"/>
          <w:vertAlign w:val="superscript"/>
          <w:lang w:val="pl-PL"/>
        </w:rPr>
        <w:t xml:space="preserve">  -5</w:t>
      </w:r>
      <w:r w:rsidRPr="0006591E">
        <w:rPr>
          <w:rFonts w:ascii="Times New Roman" w:hAnsi="Times New Roman"/>
          <w:sz w:val="20"/>
          <w:lang w:val="pl-PL"/>
        </w:rPr>
        <w:t xml:space="preserve"> m/s,</w:t>
      </w:r>
    </w:p>
    <w:p w:rsidR="00B5355D" w:rsidRPr="0006591E" w:rsidRDefault="00B5355D" w:rsidP="00B5355D">
      <w:pPr>
        <w:pStyle w:val="Tekstpodstawowy2"/>
        <w:numPr>
          <w:ilvl w:val="0"/>
          <w:numId w:val="10"/>
        </w:numPr>
        <w:tabs>
          <w:tab w:val="clear" w:pos="3240"/>
          <w:tab w:val="num" w:pos="360"/>
        </w:tabs>
        <w:spacing w:line="240" w:lineRule="auto"/>
        <w:ind w:left="3238" w:hanging="3238"/>
        <w:jc w:val="both"/>
        <w:rPr>
          <w:rFonts w:ascii="Times New Roman" w:hAnsi="Times New Roman"/>
          <w:sz w:val="20"/>
          <w:lang w:val="pl-PL"/>
        </w:rPr>
      </w:pPr>
      <w:r w:rsidRPr="0006591E">
        <w:rPr>
          <w:rFonts w:ascii="Times New Roman" w:hAnsi="Times New Roman"/>
          <w:sz w:val="20"/>
          <w:lang w:val="pl-PL"/>
        </w:rPr>
        <w:t>wskaźnik róznoziarnistości U ≥ 5.</w:t>
      </w:r>
    </w:p>
    <w:p w:rsidR="00B5355D" w:rsidRPr="0006591E" w:rsidRDefault="00B5355D" w:rsidP="00B5355D">
      <w:pPr>
        <w:pStyle w:val="Tekstpodstawowy2"/>
        <w:spacing w:before="240" w:line="240" w:lineRule="auto"/>
        <w:jc w:val="both"/>
        <w:rPr>
          <w:rFonts w:ascii="Times New Roman" w:hAnsi="Times New Roman"/>
          <w:b/>
          <w:sz w:val="20"/>
          <w:lang w:val="pl-PL"/>
        </w:rPr>
      </w:pPr>
      <w:r w:rsidRPr="0006591E">
        <w:rPr>
          <w:rFonts w:ascii="Times New Roman" w:hAnsi="Times New Roman"/>
          <w:b/>
          <w:sz w:val="20"/>
          <w:lang w:val="pl-PL"/>
        </w:rPr>
        <w:t>3. SPRZĘT</w:t>
      </w:r>
    </w:p>
    <w:p w:rsidR="00B5355D" w:rsidRPr="0006591E" w:rsidRDefault="00B5355D" w:rsidP="00B5355D">
      <w:pPr>
        <w:jc w:val="both"/>
        <w:rPr>
          <w:b/>
          <w:sz w:val="20"/>
          <w:u w:val="single"/>
        </w:rPr>
      </w:pPr>
      <w:r w:rsidRPr="0006591E">
        <w:rPr>
          <w:b/>
          <w:sz w:val="20"/>
          <w:u w:val="single"/>
        </w:rPr>
        <w:t>3.1. Wymagania ogólne dotyczące sprzętu</w:t>
      </w:r>
    </w:p>
    <w:p w:rsidR="00B5355D" w:rsidRPr="0006591E" w:rsidRDefault="00B5355D" w:rsidP="00B5355D">
      <w:pPr>
        <w:jc w:val="both"/>
        <w:rPr>
          <w:sz w:val="20"/>
        </w:rPr>
      </w:pPr>
      <w:r w:rsidRPr="0006591E">
        <w:rPr>
          <w:sz w:val="20"/>
        </w:rPr>
        <w:t>Wymagania ogólne dotyczące sprzętu podano w STWIORB D-M-02.00.01. pkt 3.</w:t>
      </w:r>
    </w:p>
    <w:p w:rsidR="00B5355D" w:rsidRPr="0006591E" w:rsidRDefault="00B5355D" w:rsidP="00B5355D">
      <w:pPr>
        <w:pStyle w:val="StandardowytekstZnak"/>
        <w:rPr>
          <w:b/>
          <w:u w:val="single"/>
        </w:rPr>
      </w:pPr>
      <w:bookmarkStart w:id="6" w:name="_Toc406295859"/>
      <w:bookmarkStart w:id="7" w:name="_Toc407161279"/>
      <w:r w:rsidRPr="0006591E">
        <w:rPr>
          <w:b/>
          <w:u w:val="single"/>
        </w:rPr>
        <w:t>3.2. Dobór sprzętu zagęszczającego</w:t>
      </w:r>
      <w:bookmarkEnd w:id="6"/>
      <w:bookmarkEnd w:id="7"/>
    </w:p>
    <w:p w:rsidR="00B5355D" w:rsidRPr="0006591E" w:rsidRDefault="00B5355D" w:rsidP="00B5355D">
      <w:pPr>
        <w:rPr>
          <w:sz w:val="20"/>
        </w:rPr>
      </w:pPr>
      <w:r w:rsidRPr="0006591E">
        <w:rPr>
          <w:sz w:val="20"/>
        </w:rPr>
        <w:t>W tablicy 1 podano, dla różnych rodzajów gruntów, orientacyjne dane przy doborze sprzętu zagęszczającego. Sprzęt do zagęszczania powinien być zatwierdzony przez Inspektora Nadzoru.</w:t>
      </w:r>
    </w:p>
    <w:p w:rsidR="00B5355D" w:rsidRPr="0006591E" w:rsidRDefault="00B5355D" w:rsidP="00B5355D">
      <w:pPr>
        <w:pStyle w:val="Stopka"/>
        <w:keepNext/>
        <w:keepLines/>
        <w:tabs>
          <w:tab w:val="clear" w:pos="4536"/>
          <w:tab w:val="clear" w:pos="9072"/>
        </w:tabs>
        <w:spacing w:before="120"/>
      </w:pPr>
      <w:r w:rsidRPr="0006591E">
        <w:rPr>
          <w:b/>
        </w:rPr>
        <w:t>Tablica 1.</w:t>
      </w:r>
      <w:r w:rsidRPr="0006591E">
        <w:t xml:space="preserve"> Orientacyjne dane przy doborze sprzętu zagęszczającego </w:t>
      </w:r>
    </w:p>
    <w:tbl>
      <w:tblPr>
        <w:tblW w:w="9360"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4500"/>
        <w:gridCol w:w="2520"/>
        <w:gridCol w:w="2340"/>
      </w:tblGrid>
      <w:tr w:rsidR="00B5355D" w:rsidRPr="0006591E" w:rsidTr="00905A5C">
        <w:trPr>
          <w:cantSplit/>
          <w:trHeight w:val="283"/>
        </w:trPr>
        <w:tc>
          <w:tcPr>
            <w:tcW w:w="4500" w:type="dxa"/>
            <w:vMerge w:val="restart"/>
            <w:tcBorders>
              <w:bottom w:val="nil"/>
            </w:tcBorders>
            <w:vAlign w:val="center"/>
          </w:tcPr>
          <w:p w:rsidR="00B5355D" w:rsidRPr="0006591E" w:rsidRDefault="00B5355D" w:rsidP="00905A5C">
            <w:pPr>
              <w:jc w:val="center"/>
              <w:rPr>
                <w:sz w:val="20"/>
              </w:rPr>
            </w:pPr>
            <w:r w:rsidRPr="0006591E">
              <w:rPr>
                <w:sz w:val="20"/>
              </w:rPr>
              <w:t>Rodzaje urządzeń zagęszczających</w:t>
            </w:r>
          </w:p>
        </w:tc>
        <w:tc>
          <w:tcPr>
            <w:tcW w:w="4860" w:type="dxa"/>
            <w:gridSpan w:val="2"/>
            <w:tcBorders>
              <w:bottom w:val="single" w:sz="6" w:space="0" w:color="auto"/>
              <w:right w:val="single" w:sz="4" w:space="0" w:color="auto"/>
            </w:tcBorders>
            <w:vAlign w:val="center"/>
          </w:tcPr>
          <w:p w:rsidR="00B5355D" w:rsidRPr="0006591E" w:rsidRDefault="00B5355D" w:rsidP="00905A5C">
            <w:pPr>
              <w:jc w:val="center"/>
              <w:rPr>
                <w:sz w:val="20"/>
              </w:rPr>
            </w:pPr>
            <w:r w:rsidRPr="0006591E">
              <w:rPr>
                <w:sz w:val="20"/>
              </w:rPr>
              <w:t>Rodzaje gruntu</w:t>
            </w:r>
          </w:p>
        </w:tc>
      </w:tr>
      <w:tr w:rsidR="00B5355D" w:rsidRPr="0006591E" w:rsidTr="00905A5C">
        <w:trPr>
          <w:cantSplit/>
          <w:trHeight w:val="180"/>
        </w:trPr>
        <w:tc>
          <w:tcPr>
            <w:tcW w:w="4500" w:type="dxa"/>
            <w:vMerge/>
            <w:tcBorders>
              <w:top w:val="nil"/>
              <w:bottom w:val="nil"/>
            </w:tcBorders>
            <w:vAlign w:val="center"/>
          </w:tcPr>
          <w:p w:rsidR="00B5355D" w:rsidRPr="0006591E" w:rsidRDefault="00B5355D" w:rsidP="00905A5C">
            <w:pPr>
              <w:jc w:val="center"/>
              <w:rPr>
                <w:sz w:val="20"/>
              </w:rPr>
            </w:pPr>
          </w:p>
        </w:tc>
        <w:tc>
          <w:tcPr>
            <w:tcW w:w="4860" w:type="dxa"/>
            <w:gridSpan w:val="2"/>
            <w:tcBorders>
              <w:top w:val="single" w:sz="6" w:space="0" w:color="auto"/>
              <w:bottom w:val="nil"/>
            </w:tcBorders>
            <w:vAlign w:val="center"/>
          </w:tcPr>
          <w:p w:rsidR="00B5355D" w:rsidRPr="0006591E" w:rsidRDefault="00B5355D" w:rsidP="00905A5C">
            <w:pPr>
              <w:jc w:val="center"/>
              <w:rPr>
                <w:sz w:val="20"/>
              </w:rPr>
            </w:pPr>
            <w:r w:rsidRPr="0006591E">
              <w:rPr>
                <w:sz w:val="20"/>
              </w:rPr>
              <w:t>niespoiste: piaski, żwiry, pospółki</w:t>
            </w:r>
          </w:p>
        </w:tc>
      </w:tr>
      <w:tr w:rsidR="00B5355D" w:rsidRPr="0006591E" w:rsidTr="00905A5C">
        <w:trPr>
          <w:cantSplit/>
        </w:trPr>
        <w:tc>
          <w:tcPr>
            <w:tcW w:w="4500" w:type="dxa"/>
            <w:vMerge/>
            <w:tcBorders>
              <w:top w:val="nil"/>
              <w:bottom w:val="single" w:sz="6" w:space="0" w:color="000000"/>
            </w:tcBorders>
            <w:vAlign w:val="center"/>
          </w:tcPr>
          <w:p w:rsidR="00B5355D" w:rsidRPr="0006591E" w:rsidRDefault="00B5355D" w:rsidP="00905A5C">
            <w:pPr>
              <w:jc w:val="center"/>
              <w:rPr>
                <w:sz w:val="20"/>
              </w:rPr>
            </w:pPr>
          </w:p>
        </w:tc>
        <w:tc>
          <w:tcPr>
            <w:tcW w:w="2520" w:type="dxa"/>
            <w:tcBorders>
              <w:top w:val="single" w:sz="6" w:space="0" w:color="auto"/>
              <w:bottom w:val="single" w:sz="6" w:space="0" w:color="000000"/>
            </w:tcBorders>
            <w:vAlign w:val="center"/>
          </w:tcPr>
          <w:p w:rsidR="00B5355D" w:rsidRPr="0006591E" w:rsidRDefault="00B5355D" w:rsidP="00905A5C">
            <w:pPr>
              <w:jc w:val="center"/>
              <w:rPr>
                <w:sz w:val="20"/>
              </w:rPr>
            </w:pPr>
            <w:r w:rsidRPr="0006591E">
              <w:rPr>
                <w:sz w:val="20"/>
              </w:rPr>
              <w:t>grubość warstwy</w:t>
            </w:r>
          </w:p>
          <w:p w:rsidR="00B5355D" w:rsidRPr="0006591E" w:rsidRDefault="00B5355D" w:rsidP="00905A5C">
            <w:pPr>
              <w:jc w:val="center"/>
              <w:rPr>
                <w:sz w:val="20"/>
              </w:rPr>
            </w:pPr>
            <w:r w:rsidRPr="0006591E">
              <w:rPr>
                <w:sz w:val="20"/>
              </w:rPr>
              <w:t>[ m ]</w:t>
            </w:r>
          </w:p>
        </w:tc>
        <w:tc>
          <w:tcPr>
            <w:tcW w:w="2340" w:type="dxa"/>
            <w:tcBorders>
              <w:top w:val="single" w:sz="6" w:space="0" w:color="auto"/>
              <w:bottom w:val="single" w:sz="6" w:space="0" w:color="000000"/>
            </w:tcBorders>
            <w:vAlign w:val="center"/>
          </w:tcPr>
          <w:p w:rsidR="00B5355D" w:rsidRPr="0006591E" w:rsidRDefault="00B5355D" w:rsidP="00905A5C">
            <w:pPr>
              <w:jc w:val="center"/>
              <w:rPr>
                <w:sz w:val="20"/>
              </w:rPr>
            </w:pPr>
            <w:r w:rsidRPr="0006591E">
              <w:rPr>
                <w:sz w:val="20"/>
              </w:rPr>
              <w:t>liczba przejść</w:t>
            </w:r>
          </w:p>
          <w:p w:rsidR="00B5355D" w:rsidRPr="0006591E" w:rsidRDefault="00B5355D" w:rsidP="00905A5C">
            <w:pPr>
              <w:jc w:val="center"/>
              <w:rPr>
                <w:sz w:val="20"/>
                <w:vertAlign w:val="superscript"/>
              </w:rPr>
            </w:pPr>
            <w:r w:rsidRPr="0006591E">
              <w:rPr>
                <w:sz w:val="20"/>
              </w:rPr>
              <w:t>n ***</w:t>
            </w:r>
          </w:p>
        </w:tc>
      </w:tr>
      <w:tr w:rsidR="00B5355D" w:rsidRPr="0006591E" w:rsidTr="00905A5C">
        <w:tc>
          <w:tcPr>
            <w:tcW w:w="4500" w:type="dxa"/>
            <w:tcBorders>
              <w:top w:val="single" w:sz="6" w:space="0" w:color="000000"/>
            </w:tcBorders>
            <w:vAlign w:val="center"/>
          </w:tcPr>
          <w:p w:rsidR="00B5355D" w:rsidRPr="0006591E" w:rsidRDefault="00B5355D" w:rsidP="00905A5C">
            <w:pPr>
              <w:pStyle w:val="Asienka"/>
            </w:pPr>
            <w:r w:rsidRPr="0006591E">
              <w:t>Walce statyczne gładkie*</w:t>
            </w:r>
          </w:p>
        </w:tc>
        <w:tc>
          <w:tcPr>
            <w:tcW w:w="2520" w:type="dxa"/>
            <w:tcBorders>
              <w:top w:val="single" w:sz="6" w:space="0" w:color="000000"/>
            </w:tcBorders>
            <w:vAlign w:val="center"/>
          </w:tcPr>
          <w:p w:rsidR="00B5355D" w:rsidRPr="0006591E" w:rsidRDefault="00B5355D" w:rsidP="00905A5C">
            <w:pPr>
              <w:jc w:val="center"/>
              <w:rPr>
                <w:sz w:val="20"/>
              </w:rPr>
            </w:pPr>
            <w:r w:rsidRPr="0006591E">
              <w:rPr>
                <w:sz w:val="20"/>
              </w:rPr>
              <w:t>0,1 do 0,2</w:t>
            </w:r>
          </w:p>
        </w:tc>
        <w:tc>
          <w:tcPr>
            <w:tcW w:w="2340" w:type="dxa"/>
            <w:tcBorders>
              <w:top w:val="single" w:sz="6" w:space="0" w:color="000000"/>
            </w:tcBorders>
            <w:vAlign w:val="center"/>
          </w:tcPr>
          <w:p w:rsidR="00B5355D" w:rsidRPr="0006591E" w:rsidRDefault="00B5355D" w:rsidP="00905A5C">
            <w:pPr>
              <w:jc w:val="center"/>
              <w:rPr>
                <w:sz w:val="20"/>
              </w:rPr>
            </w:pPr>
            <w:r w:rsidRPr="0006591E">
              <w:rPr>
                <w:sz w:val="20"/>
              </w:rPr>
              <w:t>4 do 8</w:t>
            </w:r>
          </w:p>
        </w:tc>
      </w:tr>
      <w:tr w:rsidR="00B5355D" w:rsidRPr="0006591E" w:rsidTr="00905A5C">
        <w:tc>
          <w:tcPr>
            <w:tcW w:w="4500" w:type="dxa"/>
            <w:vAlign w:val="center"/>
          </w:tcPr>
          <w:p w:rsidR="00B5355D" w:rsidRPr="0006591E" w:rsidRDefault="00B5355D" w:rsidP="00905A5C">
            <w:pPr>
              <w:ind w:left="-70"/>
              <w:rPr>
                <w:sz w:val="20"/>
              </w:rPr>
            </w:pPr>
            <w:r w:rsidRPr="0006591E">
              <w:rPr>
                <w:sz w:val="20"/>
              </w:rPr>
              <w:t>Walce statyczne ogumione*</w:t>
            </w:r>
          </w:p>
        </w:tc>
        <w:tc>
          <w:tcPr>
            <w:tcW w:w="2520" w:type="dxa"/>
            <w:vAlign w:val="center"/>
          </w:tcPr>
          <w:p w:rsidR="00B5355D" w:rsidRPr="0006591E" w:rsidRDefault="00B5355D" w:rsidP="00905A5C">
            <w:pPr>
              <w:jc w:val="center"/>
              <w:rPr>
                <w:sz w:val="20"/>
              </w:rPr>
            </w:pPr>
            <w:r w:rsidRPr="0006591E">
              <w:rPr>
                <w:sz w:val="20"/>
              </w:rPr>
              <w:t>0,2 do 0,5</w:t>
            </w:r>
          </w:p>
        </w:tc>
        <w:tc>
          <w:tcPr>
            <w:tcW w:w="2340" w:type="dxa"/>
            <w:vAlign w:val="center"/>
          </w:tcPr>
          <w:p w:rsidR="00B5355D" w:rsidRPr="0006591E" w:rsidRDefault="00B5355D" w:rsidP="00905A5C">
            <w:pPr>
              <w:jc w:val="center"/>
              <w:rPr>
                <w:sz w:val="20"/>
              </w:rPr>
            </w:pPr>
            <w:r w:rsidRPr="0006591E">
              <w:rPr>
                <w:sz w:val="20"/>
              </w:rPr>
              <w:t>6 do 8</w:t>
            </w:r>
          </w:p>
        </w:tc>
      </w:tr>
      <w:tr w:rsidR="00B5355D" w:rsidRPr="0006591E" w:rsidTr="00905A5C">
        <w:tc>
          <w:tcPr>
            <w:tcW w:w="4500" w:type="dxa"/>
            <w:vAlign w:val="center"/>
          </w:tcPr>
          <w:p w:rsidR="00B5355D" w:rsidRPr="0006591E" w:rsidRDefault="00B5355D" w:rsidP="00905A5C">
            <w:pPr>
              <w:ind w:left="-70"/>
              <w:rPr>
                <w:sz w:val="20"/>
              </w:rPr>
            </w:pPr>
            <w:r w:rsidRPr="0006591E">
              <w:rPr>
                <w:sz w:val="20"/>
              </w:rPr>
              <w:t xml:space="preserve">Walce wibracyjne gładkie** </w:t>
            </w:r>
          </w:p>
        </w:tc>
        <w:tc>
          <w:tcPr>
            <w:tcW w:w="2520" w:type="dxa"/>
            <w:vAlign w:val="center"/>
          </w:tcPr>
          <w:p w:rsidR="00B5355D" w:rsidRPr="0006591E" w:rsidRDefault="00B5355D" w:rsidP="00905A5C">
            <w:pPr>
              <w:jc w:val="center"/>
              <w:rPr>
                <w:sz w:val="20"/>
              </w:rPr>
            </w:pPr>
            <w:r w:rsidRPr="0006591E">
              <w:rPr>
                <w:sz w:val="20"/>
              </w:rPr>
              <w:t>0,4 do 0,7</w:t>
            </w:r>
          </w:p>
        </w:tc>
        <w:tc>
          <w:tcPr>
            <w:tcW w:w="2340" w:type="dxa"/>
            <w:vAlign w:val="center"/>
          </w:tcPr>
          <w:p w:rsidR="00B5355D" w:rsidRPr="0006591E" w:rsidRDefault="00B5355D" w:rsidP="00905A5C">
            <w:pPr>
              <w:jc w:val="center"/>
              <w:rPr>
                <w:sz w:val="20"/>
              </w:rPr>
            </w:pPr>
            <w:r w:rsidRPr="0006591E">
              <w:rPr>
                <w:sz w:val="20"/>
              </w:rPr>
              <w:t>4 do 8</w:t>
            </w:r>
          </w:p>
        </w:tc>
      </w:tr>
      <w:tr w:rsidR="00B5355D" w:rsidRPr="0006591E" w:rsidTr="00905A5C">
        <w:tc>
          <w:tcPr>
            <w:tcW w:w="4500" w:type="dxa"/>
            <w:vAlign w:val="center"/>
          </w:tcPr>
          <w:p w:rsidR="00B5355D" w:rsidRPr="0006591E" w:rsidRDefault="00B5355D" w:rsidP="00905A5C">
            <w:pPr>
              <w:ind w:left="-70"/>
              <w:rPr>
                <w:sz w:val="20"/>
              </w:rPr>
            </w:pPr>
            <w:r w:rsidRPr="0006591E">
              <w:rPr>
                <w:sz w:val="20"/>
              </w:rPr>
              <w:t>Walce wibracyjne okołkowane **</w:t>
            </w:r>
          </w:p>
        </w:tc>
        <w:tc>
          <w:tcPr>
            <w:tcW w:w="2520" w:type="dxa"/>
            <w:vAlign w:val="center"/>
          </w:tcPr>
          <w:p w:rsidR="00B5355D" w:rsidRPr="0006591E" w:rsidRDefault="00B5355D" w:rsidP="00905A5C">
            <w:pPr>
              <w:jc w:val="center"/>
              <w:rPr>
                <w:sz w:val="20"/>
              </w:rPr>
            </w:pPr>
            <w:r w:rsidRPr="0006591E">
              <w:rPr>
                <w:sz w:val="20"/>
              </w:rPr>
              <w:t>0,3 do 0,6</w:t>
            </w:r>
          </w:p>
        </w:tc>
        <w:tc>
          <w:tcPr>
            <w:tcW w:w="2340" w:type="dxa"/>
            <w:vAlign w:val="center"/>
          </w:tcPr>
          <w:p w:rsidR="00B5355D" w:rsidRPr="0006591E" w:rsidRDefault="00B5355D" w:rsidP="00905A5C">
            <w:pPr>
              <w:jc w:val="center"/>
              <w:rPr>
                <w:sz w:val="20"/>
              </w:rPr>
            </w:pPr>
            <w:r w:rsidRPr="0006591E">
              <w:rPr>
                <w:sz w:val="20"/>
              </w:rPr>
              <w:t>3 do 6</w:t>
            </w:r>
          </w:p>
        </w:tc>
      </w:tr>
      <w:tr w:rsidR="00B5355D" w:rsidRPr="0006591E" w:rsidTr="00905A5C">
        <w:tc>
          <w:tcPr>
            <w:tcW w:w="4500" w:type="dxa"/>
            <w:vAlign w:val="center"/>
          </w:tcPr>
          <w:p w:rsidR="00B5355D" w:rsidRPr="0006591E" w:rsidRDefault="00B5355D" w:rsidP="00905A5C">
            <w:pPr>
              <w:ind w:left="-70"/>
              <w:rPr>
                <w:sz w:val="20"/>
              </w:rPr>
            </w:pPr>
            <w:r w:rsidRPr="0006591E">
              <w:rPr>
                <w:sz w:val="20"/>
              </w:rPr>
              <w:t>Zagęszczarki wibracyjne**</w:t>
            </w:r>
          </w:p>
        </w:tc>
        <w:tc>
          <w:tcPr>
            <w:tcW w:w="2520" w:type="dxa"/>
            <w:vAlign w:val="center"/>
          </w:tcPr>
          <w:p w:rsidR="00B5355D" w:rsidRPr="0006591E" w:rsidRDefault="00B5355D" w:rsidP="00905A5C">
            <w:pPr>
              <w:jc w:val="center"/>
              <w:rPr>
                <w:sz w:val="20"/>
              </w:rPr>
            </w:pPr>
            <w:r w:rsidRPr="0006591E">
              <w:rPr>
                <w:sz w:val="20"/>
              </w:rPr>
              <w:t>0,3 do 0,5</w:t>
            </w:r>
          </w:p>
        </w:tc>
        <w:tc>
          <w:tcPr>
            <w:tcW w:w="2340" w:type="dxa"/>
            <w:vAlign w:val="center"/>
          </w:tcPr>
          <w:p w:rsidR="00B5355D" w:rsidRPr="0006591E" w:rsidRDefault="00B5355D" w:rsidP="00905A5C">
            <w:pPr>
              <w:jc w:val="center"/>
              <w:rPr>
                <w:sz w:val="20"/>
              </w:rPr>
            </w:pPr>
            <w:r w:rsidRPr="0006591E">
              <w:rPr>
                <w:sz w:val="20"/>
              </w:rPr>
              <w:t>4 do 8</w:t>
            </w:r>
          </w:p>
        </w:tc>
      </w:tr>
      <w:tr w:rsidR="00B5355D" w:rsidRPr="0006591E" w:rsidTr="00905A5C">
        <w:tc>
          <w:tcPr>
            <w:tcW w:w="4500" w:type="dxa"/>
            <w:vAlign w:val="center"/>
          </w:tcPr>
          <w:p w:rsidR="00B5355D" w:rsidRPr="0006591E" w:rsidRDefault="00B5355D" w:rsidP="00905A5C">
            <w:pPr>
              <w:ind w:left="-70"/>
              <w:rPr>
                <w:sz w:val="20"/>
              </w:rPr>
            </w:pPr>
            <w:r w:rsidRPr="0006591E">
              <w:rPr>
                <w:sz w:val="20"/>
              </w:rPr>
              <w:t xml:space="preserve">Ubijaki </w:t>
            </w:r>
            <w:proofErr w:type="spellStart"/>
            <w:r w:rsidRPr="0006591E">
              <w:rPr>
                <w:sz w:val="20"/>
              </w:rPr>
              <w:t>szybkouderzające</w:t>
            </w:r>
            <w:proofErr w:type="spellEnd"/>
          </w:p>
        </w:tc>
        <w:tc>
          <w:tcPr>
            <w:tcW w:w="2520" w:type="dxa"/>
            <w:vAlign w:val="center"/>
          </w:tcPr>
          <w:p w:rsidR="00B5355D" w:rsidRPr="0006591E" w:rsidRDefault="00B5355D" w:rsidP="00905A5C">
            <w:pPr>
              <w:jc w:val="center"/>
              <w:rPr>
                <w:sz w:val="20"/>
              </w:rPr>
            </w:pPr>
            <w:r w:rsidRPr="0006591E">
              <w:rPr>
                <w:sz w:val="20"/>
              </w:rPr>
              <w:t>0,2 do 0,4</w:t>
            </w:r>
          </w:p>
        </w:tc>
        <w:tc>
          <w:tcPr>
            <w:tcW w:w="2340" w:type="dxa"/>
            <w:vAlign w:val="center"/>
          </w:tcPr>
          <w:p w:rsidR="00B5355D" w:rsidRPr="0006591E" w:rsidRDefault="00B5355D" w:rsidP="00905A5C">
            <w:pPr>
              <w:jc w:val="center"/>
              <w:rPr>
                <w:sz w:val="20"/>
              </w:rPr>
            </w:pPr>
            <w:r w:rsidRPr="0006591E">
              <w:rPr>
                <w:sz w:val="20"/>
              </w:rPr>
              <w:t>2 do 4</w:t>
            </w:r>
          </w:p>
        </w:tc>
      </w:tr>
      <w:tr w:rsidR="00B5355D" w:rsidRPr="0006591E" w:rsidTr="00905A5C">
        <w:tc>
          <w:tcPr>
            <w:tcW w:w="4500" w:type="dxa"/>
            <w:vAlign w:val="center"/>
          </w:tcPr>
          <w:p w:rsidR="00B5355D" w:rsidRPr="0006591E" w:rsidRDefault="00B5355D" w:rsidP="00905A5C">
            <w:pPr>
              <w:ind w:left="-70"/>
              <w:rPr>
                <w:sz w:val="20"/>
              </w:rPr>
            </w:pPr>
            <w:r w:rsidRPr="0006591E">
              <w:rPr>
                <w:sz w:val="20"/>
              </w:rPr>
              <w:t xml:space="preserve">Ubijaki o masie od 1 do 10 Mg zrzucane z wysokości od 5 do </w:t>
            </w:r>
            <w:smartTag w:uri="urn:schemas-microsoft-com:office:smarttags" w:element="metricconverter">
              <w:smartTagPr>
                <w:attr w:name="ProductID" w:val="10 m"/>
              </w:smartTagPr>
              <w:r w:rsidRPr="0006591E">
                <w:rPr>
                  <w:sz w:val="20"/>
                </w:rPr>
                <w:t>10 m</w:t>
              </w:r>
            </w:smartTag>
          </w:p>
        </w:tc>
        <w:tc>
          <w:tcPr>
            <w:tcW w:w="2520" w:type="dxa"/>
            <w:vAlign w:val="center"/>
          </w:tcPr>
          <w:p w:rsidR="00B5355D" w:rsidRPr="0006591E" w:rsidRDefault="00B5355D" w:rsidP="00905A5C">
            <w:pPr>
              <w:jc w:val="center"/>
              <w:rPr>
                <w:sz w:val="20"/>
              </w:rPr>
            </w:pPr>
            <w:r w:rsidRPr="0006591E">
              <w:rPr>
                <w:sz w:val="20"/>
              </w:rPr>
              <w:t>2,0 do 8,0</w:t>
            </w:r>
          </w:p>
        </w:tc>
        <w:tc>
          <w:tcPr>
            <w:tcW w:w="2340" w:type="dxa"/>
            <w:vAlign w:val="center"/>
          </w:tcPr>
          <w:p w:rsidR="00B5355D" w:rsidRPr="0006591E" w:rsidRDefault="00B5355D" w:rsidP="00905A5C">
            <w:pPr>
              <w:jc w:val="center"/>
              <w:rPr>
                <w:sz w:val="20"/>
              </w:rPr>
            </w:pPr>
            <w:r w:rsidRPr="0006591E">
              <w:rPr>
                <w:sz w:val="20"/>
              </w:rPr>
              <w:t>4 do 10 uderzeń w punkt</w:t>
            </w:r>
          </w:p>
        </w:tc>
      </w:tr>
    </w:tbl>
    <w:p w:rsidR="00B5355D" w:rsidRPr="0006591E" w:rsidRDefault="00B5355D" w:rsidP="00B5355D">
      <w:pPr>
        <w:pStyle w:val="StylIwony"/>
        <w:spacing w:before="0" w:after="0"/>
        <w:rPr>
          <w:rFonts w:ascii="Times New Roman" w:hAnsi="Times New Roman"/>
          <w:sz w:val="20"/>
        </w:rPr>
      </w:pPr>
      <w:r w:rsidRPr="0006591E">
        <w:rPr>
          <w:rFonts w:ascii="Times New Roman" w:hAnsi="Times New Roman"/>
          <w:sz w:val="20"/>
        </w:rPr>
        <w:t>*) Walce statyczne są mało przydatne w gruntach kamienistych.</w:t>
      </w:r>
    </w:p>
    <w:p w:rsidR="00B5355D" w:rsidRPr="0006591E" w:rsidRDefault="00B5355D" w:rsidP="00B5355D">
      <w:pPr>
        <w:pStyle w:val="StylIwony"/>
        <w:spacing w:before="0" w:after="0"/>
        <w:rPr>
          <w:rFonts w:ascii="Times New Roman" w:hAnsi="Times New Roman"/>
          <w:sz w:val="20"/>
        </w:rPr>
      </w:pPr>
      <w:r w:rsidRPr="0006591E">
        <w:rPr>
          <w:rFonts w:ascii="Times New Roman" w:hAnsi="Times New Roman"/>
          <w:sz w:val="20"/>
        </w:rPr>
        <w:t xml:space="preserve">**) Wibracyjnie należy zagęszczać warstwy grubości </w:t>
      </w:r>
      <w:r w:rsidRPr="0006591E">
        <w:rPr>
          <w:rFonts w:ascii="Times New Roman" w:hAnsi="Times New Roman"/>
          <w:sz w:val="20"/>
        </w:rPr>
        <w:sym w:font="Symbol" w:char="F0B3"/>
      </w:r>
      <w:r w:rsidRPr="0006591E">
        <w:rPr>
          <w:rFonts w:ascii="Times New Roman" w:hAnsi="Times New Roman"/>
          <w:sz w:val="20"/>
        </w:rPr>
        <w:t xml:space="preserve"> </w:t>
      </w:r>
      <w:smartTag w:uri="urn:schemas-microsoft-com:office:smarttags" w:element="metricconverter">
        <w:smartTagPr>
          <w:attr w:name="ProductID" w:val="15 cm"/>
        </w:smartTagPr>
        <w:r w:rsidRPr="0006591E">
          <w:rPr>
            <w:rFonts w:ascii="Times New Roman" w:hAnsi="Times New Roman"/>
            <w:sz w:val="20"/>
          </w:rPr>
          <w:t>15 cm</w:t>
        </w:r>
      </w:smartTag>
      <w:r w:rsidRPr="0006591E">
        <w:rPr>
          <w:rFonts w:ascii="Times New Roman" w:hAnsi="Times New Roman"/>
          <w:sz w:val="20"/>
        </w:rPr>
        <w:t>, cieńsze warstwy należy zagęszczać statycznie.</w:t>
      </w:r>
    </w:p>
    <w:p w:rsidR="00B5355D" w:rsidRPr="0006591E" w:rsidRDefault="00B5355D" w:rsidP="00B5355D">
      <w:pPr>
        <w:pStyle w:val="StylIwony"/>
        <w:spacing w:before="0" w:after="0"/>
        <w:rPr>
          <w:rFonts w:ascii="Times New Roman" w:hAnsi="Times New Roman"/>
          <w:sz w:val="20"/>
        </w:rPr>
      </w:pPr>
      <w:r w:rsidRPr="0006591E">
        <w:rPr>
          <w:rFonts w:ascii="Times New Roman" w:hAnsi="Times New Roman"/>
          <w:sz w:val="20"/>
        </w:rPr>
        <w:t>***) Wartości orientacyjne, właściwe należy ustalić na odcinku doświadczalnym.</w:t>
      </w:r>
    </w:p>
    <w:p w:rsidR="00B5355D" w:rsidRPr="0006591E" w:rsidRDefault="00B5355D" w:rsidP="00B5355D">
      <w:pPr>
        <w:spacing w:before="240"/>
        <w:jc w:val="both"/>
        <w:rPr>
          <w:b/>
          <w:sz w:val="20"/>
        </w:rPr>
      </w:pPr>
      <w:r w:rsidRPr="0006591E">
        <w:rPr>
          <w:b/>
          <w:sz w:val="20"/>
        </w:rPr>
        <w:lastRenderedPageBreak/>
        <w:t>4. TRANSPORT</w:t>
      </w:r>
    </w:p>
    <w:p w:rsidR="00B5355D" w:rsidRPr="0006591E" w:rsidRDefault="00B5355D" w:rsidP="00B5355D">
      <w:pPr>
        <w:jc w:val="both"/>
        <w:rPr>
          <w:b/>
          <w:sz w:val="20"/>
          <w:u w:val="single"/>
        </w:rPr>
      </w:pPr>
      <w:r w:rsidRPr="0006591E">
        <w:rPr>
          <w:b/>
          <w:sz w:val="20"/>
          <w:u w:val="single"/>
        </w:rPr>
        <w:t>4.1. Wymagania ogólne</w:t>
      </w:r>
    </w:p>
    <w:p w:rsidR="00B5355D" w:rsidRPr="0006591E" w:rsidRDefault="00B5355D" w:rsidP="00B5355D">
      <w:pPr>
        <w:pStyle w:val="Tekstpodstawowy3"/>
        <w:rPr>
          <w:sz w:val="20"/>
        </w:rPr>
      </w:pPr>
      <w:r w:rsidRPr="0006591E">
        <w:rPr>
          <w:sz w:val="20"/>
        </w:rPr>
        <w:t>Ogólne wymagania dla transportu podano w STWIORB D-M-02.00.01. pkt. 4.</w:t>
      </w:r>
    </w:p>
    <w:p w:rsidR="00B5355D" w:rsidRPr="0006591E" w:rsidRDefault="00B5355D" w:rsidP="00B5355D">
      <w:pPr>
        <w:keepNext/>
        <w:keepLines/>
        <w:spacing w:before="240"/>
        <w:jc w:val="both"/>
        <w:rPr>
          <w:sz w:val="20"/>
        </w:rPr>
      </w:pPr>
      <w:r w:rsidRPr="0006591E">
        <w:rPr>
          <w:b/>
          <w:sz w:val="20"/>
        </w:rPr>
        <w:t>5. WYKONANIE ROBÓT</w:t>
      </w:r>
      <w:r w:rsidRPr="0006591E">
        <w:rPr>
          <w:sz w:val="20"/>
        </w:rPr>
        <w:t xml:space="preserve">  </w:t>
      </w:r>
    </w:p>
    <w:p w:rsidR="00B5355D" w:rsidRPr="0006591E" w:rsidRDefault="00B5355D" w:rsidP="00B5355D">
      <w:pPr>
        <w:keepNext/>
        <w:keepLines/>
        <w:jc w:val="both"/>
        <w:rPr>
          <w:sz w:val="20"/>
        </w:rPr>
      </w:pPr>
      <w:r w:rsidRPr="0006591E">
        <w:rPr>
          <w:b/>
          <w:sz w:val="20"/>
          <w:u w:val="single"/>
        </w:rPr>
        <w:t>5.1. Ogólne zasady wykonania robót</w:t>
      </w:r>
    </w:p>
    <w:p w:rsidR="00B5355D" w:rsidRPr="0006591E" w:rsidRDefault="00B5355D" w:rsidP="00B5355D">
      <w:pPr>
        <w:keepNext/>
        <w:keepLines/>
        <w:jc w:val="both"/>
        <w:rPr>
          <w:sz w:val="20"/>
        </w:rPr>
      </w:pPr>
      <w:r w:rsidRPr="0006591E">
        <w:rPr>
          <w:sz w:val="20"/>
        </w:rPr>
        <w:t>Ogólne zasady wykonania robót podano w STWIORB D-M-02.00.01. pkt. 5.</w:t>
      </w:r>
    </w:p>
    <w:p w:rsidR="00B5355D" w:rsidRPr="0006591E" w:rsidRDefault="00B5355D" w:rsidP="00B5355D">
      <w:pPr>
        <w:pStyle w:val="StandardowytekstZnak"/>
        <w:rPr>
          <w:b/>
          <w:u w:val="single"/>
        </w:rPr>
      </w:pPr>
      <w:bookmarkStart w:id="8" w:name="_Toc406295863"/>
      <w:bookmarkStart w:id="9" w:name="_Toc407161283"/>
      <w:r w:rsidRPr="0006591E">
        <w:rPr>
          <w:b/>
          <w:u w:val="single"/>
        </w:rPr>
        <w:t>5.2. Dokop</w:t>
      </w:r>
      <w:bookmarkEnd w:id="8"/>
      <w:bookmarkEnd w:id="9"/>
    </w:p>
    <w:p w:rsidR="00B5355D" w:rsidRPr="0006591E" w:rsidRDefault="00B5355D" w:rsidP="00B5355D">
      <w:pPr>
        <w:keepNext/>
        <w:jc w:val="both"/>
        <w:rPr>
          <w:sz w:val="20"/>
        </w:rPr>
      </w:pPr>
      <w:r w:rsidRPr="0006591E">
        <w:rPr>
          <w:b/>
          <w:sz w:val="20"/>
        </w:rPr>
        <w:t xml:space="preserve">5.2.1. Miejsce </w:t>
      </w:r>
      <w:proofErr w:type="spellStart"/>
      <w:r w:rsidRPr="0006591E">
        <w:rPr>
          <w:b/>
          <w:sz w:val="20"/>
        </w:rPr>
        <w:t>dokopu</w:t>
      </w:r>
      <w:proofErr w:type="spellEnd"/>
    </w:p>
    <w:p w:rsidR="00B5355D" w:rsidRPr="0006591E" w:rsidRDefault="00B5355D" w:rsidP="00B5355D">
      <w:pPr>
        <w:pStyle w:val="tekstost"/>
      </w:pPr>
      <w:r w:rsidRPr="0006591E">
        <w:t xml:space="preserve">Miejsce </w:t>
      </w:r>
      <w:proofErr w:type="spellStart"/>
      <w:r w:rsidRPr="0006591E">
        <w:t>dokopu</w:t>
      </w:r>
      <w:proofErr w:type="spellEnd"/>
      <w:r w:rsidRPr="0006591E">
        <w:t xml:space="preserve"> ma zapewnić Wykonawca i musi być ono zaakceptowane przez Inspektora Nadzoru.</w:t>
      </w:r>
    </w:p>
    <w:p w:rsidR="00B5355D" w:rsidRPr="0006591E" w:rsidRDefault="00B5355D" w:rsidP="00B5355D">
      <w:pPr>
        <w:jc w:val="both"/>
        <w:rPr>
          <w:sz w:val="20"/>
        </w:rPr>
      </w:pPr>
      <w:r w:rsidRPr="0006591E">
        <w:rPr>
          <w:sz w:val="20"/>
        </w:rPr>
        <w:t xml:space="preserve">Miejsce </w:t>
      </w:r>
      <w:proofErr w:type="spellStart"/>
      <w:r w:rsidRPr="0006591E">
        <w:rPr>
          <w:sz w:val="20"/>
        </w:rPr>
        <w:t>dokopu</w:t>
      </w:r>
      <w:proofErr w:type="spellEnd"/>
      <w:r w:rsidRPr="0006591E">
        <w:rPr>
          <w:sz w:val="20"/>
        </w:rPr>
        <w:t xml:space="preserve"> powinno być tak dobrane, żeby zapewnić przewóz lub przemieszczanie gruntu na jak najkrótszych odległościach. O ile to możliwe, transport gruntu powinien odbywać się w poziomie lub zgodnie ze spadkiem terenu. </w:t>
      </w:r>
      <w:r w:rsidRPr="0006591E">
        <w:rPr>
          <w:b/>
          <w:sz w:val="20"/>
        </w:rPr>
        <w:t>5.2.2. Zasady prowadzenia robót w dokopie</w:t>
      </w:r>
    </w:p>
    <w:p w:rsidR="00B5355D" w:rsidRPr="0006591E" w:rsidRDefault="00B5355D" w:rsidP="00B5355D">
      <w:pPr>
        <w:pStyle w:val="tekstost"/>
      </w:pPr>
      <w:r w:rsidRPr="0006591E">
        <w:t xml:space="preserve">Pozyskiwanie gruntu z </w:t>
      </w:r>
      <w:proofErr w:type="spellStart"/>
      <w:r w:rsidRPr="0006591E">
        <w:t>dokopu</w:t>
      </w:r>
      <w:proofErr w:type="spellEnd"/>
      <w:r w:rsidRPr="0006591E">
        <w:t xml:space="preserve"> może rozpocząć się dopiero po pobraniu próbek i zbadaniu przydatności zalegającego gruntu do budowy nasypów oraz po wydaniu zgody na piśmie przez Inspektora Nadzoru. Głębokość na jaką należy ocenić przydatność gruntu powinna być dostosowana do zakresu prac.</w:t>
      </w:r>
    </w:p>
    <w:p w:rsidR="00B5355D" w:rsidRPr="0006591E" w:rsidRDefault="00B5355D" w:rsidP="00B5355D">
      <w:pPr>
        <w:jc w:val="both"/>
        <w:rPr>
          <w:sz w:val="20"/>
        </w:rPr>
      </w:pPr>
      <w:r w:rsidRPr="0006591E">
        <w:rPr>
          <w:sz w:val="20"/>
        </w:rPr>
        <w:t xml:space="preserve">Grunty nieprzydatne do budowy nasypów nie powinny być odspajane, chyba że wymaga tego dostęp do gruntu przeznaczonego do przewiezienia z </w:t>
      </w:r>
      <w:proofErr w:type="spellStart"/>
      <w:r w:rsidRPr="0006591E">
        <w:rPr>
          <w:sz w:val="20"/>
        </w:rPr>
        <w:t>dokopu</w:t>
      </w:r>
      <w:proofErr w:type="spellEnd"/>
      <w:r w:rsidRPr="0006591E">
        <w:rPr>
          <w:sz w:val="20"/>
        </w:rPr>
        <w:t xml:space="preserve"> w nasyp. Odspojone przez Wykonawcę grunty nieprzydatne powinny być wbudowane z powrotem w miejscu ich pozyskania, zgodnie ze wskazaniami Inspektora Nadzoru. Roboty te będą włączone do obmiaru robót i opłacone przez Zamawiającego tylko wówczas, gdy odspojenie gruntów nieprzydatnych było konieczne i zostało potwierdzone przez Inspektora Nadzoru. O ile to konieczne, dokop należy odwodnić przez wykonanie rowu odpływowego.</w:t>
      </w:r>
    </w:p>
    <w:p w:rsidR="00B5355D" w:rsidRPr="0006591E" w:rsidRDefault="00B5355D" w:rsidP="00B5355D">
      <w:pPr>
        <w:jc w:val="both"/>
        <w:rPr>
          <w:b/>
          <w:sz w:val="20"/>
          <w:u w:val="single"/>
        </w:rPr>
      </w:pPr>
      <w:r w:rsidRPr="0006591E">
        <w:rPr>
          <w:b/>
          <w:sz w:val="20"/>
          <w:u w:val="single"/>
        </w:rPr>
        <w:t>5.3. Wykonanie nasypów</w:t>
      </w:r>
    </w:p>
    <w:p w:rsidR="00B5355D" w:rsidRPr="0006591E" w:rsidRDefault="00B5355D" w:rsidP="00B5355D">
      <w:pPr>
        <w:tabs>
          <w:tab w:val="left" w:pos="518"/>
        </w:tabs>
        <w:jc w:val="both"/>
        <w:rPr>
          <w:b/>
          <w:sz w:val="20"/>
        </w:rPr>
      </w:pPr>
      <w:r w:rsidRPr="0006591E">
        <w:rPr>
          <w:b/>
          <w:sz w:val="20"/>
        </w:rPr>
        <w:t>5.3.1. Przygotowanie podłoża w obrębie podstawy nasypu</w:t>
      </w:r>
    </w:p>
    <w:p w:rsidR="00B5355D" w:rsidRPr="0006591E" w:rsidRDefault="00B5355D" w:rsidP="00B5355D">
      <w:pPr>
        <w:tabs>
          <w:tab w:val="left" w:pos="518"/>
        </w:tabs>
        <w:jc w:val="both"/>
        <w:rPr>
          <w:sz w:val="20"/>
        </w:rPr>
      </w:pPr>
      <w:r w:rsidRPr="0006591E">
        <w:rPr>
          <w:sz w:val="20"/>
        </w:rPr>
        <w:t>Przed przystąpieniem do budowy nasypu należy w obrębie jego podstawy zakończyć roboty przygotowawcze, określone w STWIORB D-01.00.00. „Roboty przygotowawcze”, wyprofilować i zagęścić podłoże.</w:t>
      </w:r>
    </w:p>
    <w:p w:rsidR="00B5355D" w:rsidRPr="0006591E" w:rsidRDefault="00B5355D" w:rsidP="00B5355D">
      <w:pPr>
        <w:keepNext/>
        <w:rPr>
          <w:sz w:val="20"/>
        </w:rPr>
      </w:pPr>
      <w:r w:rsidRPr="0006591E">
        <w:rPr>
          <w:sz w:val="20"/>
        </w:rPr>
        <w:t>5.3.1.1. Wycięcie stopni w zboczu</w:t>
      </w:r>
    </w:p>
    <w:p w:rsidR="00B5355D" w:rsidRPr="0006591E" w:rsidRDefault="00B5355D" w:rsidP="00B5355D">
      <w:pPr>
        <w:keepNext/>
        <w:jc w:val="both"/>
        <w:rPr>
          <w:sz w:val="20"/>
        </w:rPr>
      </w:pPr>
      <w:r w:rsidRPr="0006591E">
        <w:rPr>
          <w:sz w:val="20"/>
        </w:rPr>
        <w:t xml:space="preserve">Jeżeli pochylenie poprzeczne terenu w stosunku do osi nasypu jest większe niż 1:5 należy, dla zabezpieczenia przed zsuwaniem się nasypu, wykonać w zboczu stopnie o spadku górnej powierzchni, wynoszącym około  4%  </w:t>
      </w:r>
      <w:r w:rsidRPr="0006591E">
        <w:rPr>
          <w:sz w:val="20"/>
        </w:rPr>
        <w:sym w:font="Symbol" w:char="00B1"/>
      </w:r>
      <w:r w:rsidRPr="0006591E">
        <w:rPr>
          <w:sz w:val="20"/>
        </w:rPr>
        <w:t xml:space="preserve"> 1% i szerokości od 1,0 do </w:t>
      </w:r>
      <w:smartTag w:uri="urn:schemas-microsoft-com:office:smarttags" w:element="metricconverter">
        <w:smartTagPr>
          <w:attr w:name="ProductID" w:val="2,5 m"/>
        </w:smartTagPr>
        <w:r w:rsidRPr="0006591E">
          <w:rPr>
            <w:sz w:val="20"/>
          </w:rPr>
          <w:t>2,5 m</w:t>
        </w:r>
      </w:smartTag>
      <w:r w:rsidRPr="0006591E">
        <w:rPr>
          <w:sz w:val="20"/>
        </w:rPr>
        <w:t>.</w:t>
      </w:r>
    </w:p>
    <w:p w:rsidR="00B5355D" w:rsidRPr="0006591E" w:rsidRDefault="00B5355D" w:rsidP="00B5355D">
      <w:pPr>
        <w:keepNext/>
        <w:rPr>
          <w:sz w:val="20"/>
        </w:rPr>
      </w:pPr>
      <w:r w:rsidRPr="0006591E">
        <w:rPr>
          <w:sz w:val="20"/>
        </w:rPr>
        <w:t>5.3.1.2.</w:t>
      </w:r>
      <w:r w:rsidRPr="0006591E">
        <w:rPr>
          <w:b/>
          <w:sz w:val="20"/>
        </w:rPr>
        <w:t xml:space="preserve"> </w:t>
      </w:r>
      <w:r w:rsidRPr="0006591E">
        <w:rPr>
          <w:sz w:val="20"/>
        </w:rPr>
        <w:t>Zagęszczenie gruntów w podłożu  nasypów</w:t>
      </w:r>
    </w:p>
    <w:p w:rsidR="00B5355D" w:rsidRPr="0006591E" w:rsidRDefault="00B5355D" w:rsidP="00B5355D">
      <w:pPr>
        <w:overflowPunct w:val="0"/>
        <w:autoSpaceDE w:val="0"/>
        <w:autoSpaceDN w:val="0"/>
        <w:adjustRightInd w:val="0"/>
        <w:jc w:val="both"/>
        <w:rPr>
          <w:sz w:val="20"/>
          <w:szCs w:val="20"/>
        </w:rPr>
      </w:pPr>
      <w:r w:rsidRPr="0006591E">
        <w:rPr>
          <w:sz w:val="20"/>
          <w:szCs w:val="20"/>
        </w:rPr>
        <w:t xml:space="preserve">Wykonawca powinien skontrolować wskaźnik zagęszczenia oraz nośność gruntów rodzimych, zalegających w strefie podłoża nasypu, do głębokości </w:t>
      </w:r>
      <w:smartTag w:uri="urn:schemas-microsoft-com:office:smarttags" w:element="metricconverter">
        <w:smartTagPr>
          <w:attr w:name="ProductID" w:val="0,5 m"/>
        </w:smartTagPr>
        <w:r w:rsidRPr="0006591E">
          <w:rPr>
            <w:sz w:val="20"/>
            <w:szCs w:val="20"/>
          </w:rPr>
          <w:t>0,5 m</w:t>
        </w:r>
      </w:smartTag>
      <w:r w:rsidRPr="0006591E">
        <w:rPr>
          <w:sz w:val="20"/>
          <w:szCs w:val="20"/>
        </w:rPr>
        <w:t xml:space="preserve"> od powierzchni terenu. Jeżeli wartość wskaźnika zagęszczenia oraz nośności są mniejsze niż określono w tablicy 2, Wykonawca powinien dogęścić podłoże tak, aby powyższe wymagania zostały spełnione.</w:t>
      </w:r>
    </w:p>
    <w:p w:rsidR="00B5355D" w:rsidRPr="0006591E" w:rsidRDefault="00B5355D" w:rsidP="00B5355D">
      <w:pPr>
        <w:overflowPunct w:val="0"/>
        <w:autoSpaceDE w:val="0"/>
        <w:autoSpaceDN w:val="0"/>
        <w:adjustRightInd w:val="0"/>
        <w:jc w:val="both"/>
        <w:rPr>
          <w:sz w:val="20"/>
          <w:szCs w:val="20"/>
        </w:rPr>
      </w:pPr>
      <w:r w:rsidRPr="0006591E">
        <w:rPr>
          <w:sz w:val="20"/>
          <w:szCs w:val="20"/>
        </w:rPr>
        <w:t>Jeżeli wartości wskaźnika zagęszczenia oraz nośności określone w tablicy 2 nie mogą być osiągnięte przez bezpośrednie zagęszczanie podłoża, to należy podjąć środki w celu ulepszenia gruntu podłoża, umożliwiające uzyskanie wymaganych parametrów.</w:t>
      </w:r>
    </w:p>
    <w:p w:rsidR="00B5355D" w:rsidRPr="0006591E" w:rsidRDefault="00B5355D" w:rsidP="00B5355D">
      <w:pPr>
        <w:overflowPunct w:val="0"/>
        <w:autoSpaceDE w:val="0"/>
        <w:autoSpaceDN w:val="0"/>
        <w:adjustRightInd w:val="0"/>
        <w:jc w:val="both"/>
        <w:rPr>
          <w:b/>
          <w:color w:val="3366FF"/>
          <w:sz w:val="20"/>
          <w:szCs w:val="20"/>
        </w:rPr>
      </w:pPr>
    </w:p>
    <w:p w:rsidR="00B5355D" w:rsidRPr="0006591E" w:rsidRDefault="00B5355D" w:rsidP="00B5355D">
      <w:pPr>
        <w:overflowPunct w:val="0"/>
        <w:autoSpaceDE w:val="0"/>
        <w:autoSpaceDN w:val="0"/>
        <w:adjustRightInd w:val="0"/>
        <w:jc w:val="both"/>
        <w:rPr>
          <w:sz w:val="20"/>
          <w:szCs w:val="20"/>
        </w:rPr>
      </w:pPr>
      <w:r w:rsidRPr="0006591E">
        <w:rPr>
          <w:b/>
          <w:sz w:val="20"/>
          <w:szCs w:val="20"/>
        </w:rPr>
        <w:t>Tablica 2.</w:t>
      </w:r>
      <w:r w:rsidRPr="0006591E">
        <w:rPr>
          <w:sz w:val="20"/>
          <w:szCs w:val="20"/>
        </w:rPr>
        <w:t xml:space="preserve"> Minimalne wartości wskaźnika zagęszczenia dla podłoża nasypów do głębokości </w:t>
      </w:r>
      <w:smartTag w:uri="urn:schemas-microsoft-com:office:smarttags" w:element="metricconverter">
        <w:smartTagPr>
          <w:attr w:name="ProductID" w:val="0,5 m"/>
        </w:smartTagPr>
        <w:r w:rsidRPr="0006591E">
          <w:rPr>
            <w:sz w:val="20"/>
            <w:szCs w:val="20"/>
          </w:rPr>
          <w:t>0,5 m</w:t>
        </w:r>
      </w:smartTag>
      <w:r w:rsidRPr="0006591E">
        <w:rPr>
          <w:sz w:val="20"/>
          <w:szCs w:val="20"/>
        </w:rPr>
        <w:t xml:space="preserve"> od powierzchni terenu</w:t>
      </w:r>
      <w:r w:rsidRPr="0006591E">
        <w:rPr>
          <w:sz w:val="20"/>
          <w:szCs w:val="20"/>
        </w:rPr>
        <w:tab/>
      </w:r>
    </w:p>
    <w:tbl>
      <w:tblPr>
        <w:tblW w:w="0" w:type="auto"/>
        <w:tblCellMar>
          <w:left w:w="70" w:type="dxa"/>
          <w:right w:w="70" w:type="dxa"/>
        </w:tblCellMar>
        <w:tblLook w:val="0000"/>
      </w:tblPr>
      <w:tblGrid>
        <w:gridCol w:w="2530"/>
        <w:gridCol w:w="3341"/>
        <w:gridCol w:w="3341"/>
      </w:tblGrid>
      <w:tr w:rsidR="00B5355D" w:rsidRPr="0006591E" w:rsidTr="00905A5C">
        <w:trPr>
          <w:trHeight w:val="346"/>
        </w:trPr>
        <w:tc>
          <w:tcPr>
            <w:tcW w:w="2590" w:type="dxa"/>
            <w:vMerge w:val="restart"/>
            <w:tcBorders>
              <w:top w:val="single" w:sz="6" w:space="0" w:color="auto"/>
              <w:left w:val="single" w:sz="6" w:space="0" w:color="auto"/>
              <w:bottom w:val="double" w:sz="6" w:space="0" w:color="auto"/>
              <w:right w:val="nil"/>
            </w:tcBorders>
            <w:noWrap/>
            <w:vAlign w:val="center"/>
          </w:tcPr>
          <w:p w:rsidR="00B5355D" w:rsidRPr="0006591E" w:rsidRDefault="00B5355D" w:rsidP="00905A5C">
            <w:pPr>
              <w:overflowPunct w:val="0"/>
              <w:autoSpaceDE w:val="0"/>
              <w:autoSpaceDN w:val="0"/>
              <w:adjustRightInd w:val="0"/>
              <w:spacing w:before="120"/>
              <w:jc w:val="center"/>
              <w:rPr>
                <w:sz w:val="20"/>
                <w:szCs w:val="20"/>
              </w:rPr>
            </w:pPr>
            <w:r w:rsidRPr="0006591E">
              <w:rPr>
                <w:sz w:val="20"/>
                <w:szCs w:val="20"/>
              </w:rPr>
              <w:t>Nasypy o wysokości, m</w:t>
            </w:r>
          </w:p>
        </w:tc>
        <w:tc>
          <w:tcPr>
            <w:tcW w:w="6840" w:type="dxa"/>
            <w:gridSpan w:val="2"/>
            <w:tcBorders>
              <w:top w:val="single" w:sz="6" w:space="0" w:color="auto"/>
              <w:left w:val="single" w:sz="6" w:space="0" w:color="auto"/>
              <w:right w:val="single" w:sz="6" w:space="0" w:color="auto"/>
            </w:tcBorders>
            <w:noWrap/>
            <w:vAlign w:val="center"/>
          </w:tcPr>
          <w:p w:rsidR="00B5355D" w:rsidRPr="00DA57BC" w:rsidRDefault="00B5355D" w:rsidP="00905A5C">
            <w:pPr>
              <w:overflowPunct w:val="0"/>
              <w:autoSpaceDE w:val="0"/>
              <w:autoSpaceDN w:val="0"/>
              <w:adjustRightInd w:val="0"/>
              <w:spacing w:before="60"/>
              <w:jc w:val="center"/>
              <w:rPr>
                <w:b/>
                <w:sz w:val="20"/>
                <w:szCs w:val="20"/>
              </w:rPr>
            </w:pPr>
            <w:r w:rsidRPr="00DA57BC">
              <w:rPr>
                <w:b/>
                <w:sz w:val="20"/>
                <w:szCs w:val="20"/>
              </w:rPr>
              <w:t>Minimalna wartość dla KR1</w:t>
            </w:r>
          </w:p>
        </w:tc>
      </w:tr>
      <w:tr w:rsidR="00B5355D" w:rsidRPr="0006591E" w:rsidTr="00905A5C">
        <w:tc>
          <w:tcPr>
            <w:tcW w:w="2590" w:type="dxa"/>
            <w:vMerge/>
            <w:tcBorders>
              <w:top w:val="single" w:sz="6" w:space="0" w:color="auto"/>
              <w:left w:val="single" w:sz="6" w:space="0" w:color="auto"/>
              <w:bottom w:val="single" w:sz="6" w:space="0" w:color="auto"/>
              <w:right w:val="nil"/>
            </w:tcBorders>
            <w:vAlign w:val="center"/>
          </w:tcPr>
          <w:p w:rsidR="00B5355D" w:rsidRPr="0006591E" w:rsidRDefault="00B5355D" w:rsidP="00905A5C">
            <w:pPr>
              <w:rPr>
                <w:sz w:val="20"/>
                <w:szCs w:val="20"/>
              </w:rPr>
            </w:pPr>
          </w:p>
        </w:tc>
        <w:tc>
          <w:tcPr>
            <w:tcW w:w="6840" w:type="dxa"/>
            <w:gridSpan w:val="2"/>
            <w:tcBorders>
              <w:top w:val="single" w:sz="6" w:space="0" w:color="auto"/>
              <w:left w:val="single" w:sz="6" w:space="0" w:color="auto"/>
              <w:bottom w:val="single" w:sz="6" w:space="0" w:color="auto"/>
              <w:right w:val="single" w:sz="6" w:space="0" w:color="auto"/>
            </w:tcBorders>
            <w:noWrap/>
            <w:vAlign w:val="center"/>
          </w:tcPr>
          <w:p w:rsidR="00B5355D" w:rsidRPr="00DA57BC" w:rsidRDefault="00B5355D" w:rsidP="00905A5C">
            <w:pPr>
              <w:overflowPunct w:val="0"/>
              <w:autoSpaceDE w:val="0"/>
              <w:autoSpaceDN w:val="0"/>
              <w:adjustRightInd w:val="0"/>
              <w:jc w:val="center"/>
              <w:rPr>
                <w:b/>
                <w:sz w:val="20"/>
                <w:szCs w:val="20"/>
              </w:rPr>
            </w:pPr>
            <w:proofErr w:type="spellStart"/>
            <w:r w:rsidRPr="00DA57BC">
              <w:rPr>
                <w:b/>
                <w:sz w:val="20"/>
                <w:szCs w:val="20"/>
              </w:rPr>
              <w:t>I</w:t>
            </w:r>
            <w:r w:rsidRPr="00DA57BC">
              <w:rPr>
                <w:b/>
                <w:sz w:val="20"/>
                <w:szCs w:val="20"/>
                <w:vertAlign w:val="subscript"/>
              </w:rPr>
              <w:t>s</w:t>
            </w:r>
            <w:proofErr w:type="spellEnd"/>
          </w:p>
        </w:tc>
      </w:tr>
      <w:tr w:rsidR="00B5355D" w:rsidRPr="0006591E" w:rsidTr="00905A5C">
        <w:trPr>
          <w:trHeight w:val="527"/>
        </w:trPr>
        <w:tc>
          <w:tcPr>
            <w:tcW w:w="2590" w:type="dxa"/>
            <w:tcBorders>
              <w:top w:val="single" w:sz="6" w:space="0" w:color="auto"/>
              <w:left w:val="single" w:sz="6" w:space="0" w:color="auto"/>
              <w:right w:val="single" w:sz="6" w:space="0" w:color="auto"/>
            </w:tcBorders>
            <w:noWrap/>
            <w:vAlign w:val="center"/>
          </w:tcPr>
          <w:p w:rsidR="00B5355D" w:rsidRPr="0006591E" w:rsidRDefault="00B5355D" w:rsidP="00905A5C">
            <w:pPr>
              <w:overflowPunct w:val="0"/>
              <w:autoSpaceDE w:val="0"/>
              <w:autoSpaceDN w:val="0"/>
              <w:adjustRightInd w:val="0"/>
              <w:spacing w:before="60" w:after="60"/>
              <w:jc w:val="center"/>
              <w:rPr>
                <w:sz w:val="20"/>
                <w:szCs w:val="20"/>
              </w:rPr>
            </w:pPr>
            <w:r w:rsidRPr="0006591E">
              <w:rPr>
                <w:sz w:val="20"/>
                <w:szCs w:val="20"/>
              </w:rPr>
              <w:t xml:space="preserve">do 0,5 </w:t>
            </w:r>
          </w:p>
        </w:tc>
        <w:tc>
          <w:tcPr>
            <w:tcW w:w="6840" w:type="dxa"/>
            <w:gridSpan w:val="2"/>
            <w:tcBorders>
              <w:top w:val="single" w:sz="6" w:space="0" w:color="auto"/>
              <w:left w:val="single" w:sz="6" w:space="0" w:color="auto"/>
              <w:right w:val="single" w:sz="6" w:space="0" w:color="auto"/>
            </w:tcBorders>
            <w:noWrap/>
            <w:vAlign w:val="center"/>
          </w:tcPr>
          <w:p w:rsidR="00B5355D" w:rsidRPr="00DA57BC" w:rsidRDefault="00B5355D" w:rsidP="00905A5C">
            <w:pPr>
              <w:overflowPunct w:val="0"/>
              <w:autoSpaceDE w:val="0"/>
              <w:autoSpaceDN w:val="0"/>
              <w:adjustRightInd w:val="0"/>
              <w:spacing w:before="60" w:after="60"/>
              <w:jc w:val="center"/>
              <w:rPr>
                <w:b/>
                <w:sz w:val="20"/>
                <w:szCs w:val="20"/>
              </w:rPr>
            </w:pPr>
            <w:r w:rsidRPr="00DA57BC">
              <w:rPr>
                <w:b/>
                <w:sz w:val="20"/>
                <w:szCs w:val="20"/>
              </w:rPr>
              <w:t>0,95</w:t>
            </w:r>
          </w:p>
        </w:tc>
      </w:tr>
      <w:tr w:rsidR="00B5355D" w:rsidRPr="0006591E" w:rsidTr="00905A5C">
        <w:trPr>
          <w:trHeight w:val="346"/>
        </w:trPr>
        <w:tc>
          <w:tcPr>
            <w:tcW w:w="2590" w:type="dxa"/>
            <w:vMerge w:val="restart"/>
            <w:tcBorders>
              <w:top w:val="single" w:sz="6" w:space="0" w:color="auto"/>
              <w:left w:val="single" w:sz="6" w:space="0" w:color="auto"/>
              <w:bottom w:val="double" w:sz="6" w:space="0" w:color="auto"/>
              <w:right w:val="nil"/>
            </w:tcBorders>
            <w:noWrap/>
            <w:vAlign w:val="center"/>
          </w:tcPr>
          <w:p w:rsidR="00B5355D" w:rsidRPr="0006591E" w:rsidRDefault="00B5355D" w:rsidP="00905A5C">
            <w:pPr>
              <w:overflowPunct w:val="0"/>
              <w:autoSpaceDE w:val="0"/>
              <w:autoSpaceDN w:val="0"/>
              <w:adjustRightInd w:val="0"/>
              <w:spacing w:before="120"/>
              <w:jc w:val="center"/>
              <w:rPr>
                <w:sz w:val="20"/>
                <w:szCs w:val="20"/>
              </w:rPr>
            </w:pPr>
            <w:r w:rsidRPr="0006591E">
              <w:rPr>
                <w:sz w:val="20"/>
                <w:szCs w:val="20"/>
              </w:rPr>
              <w:t>Nasypy o wysokości, m</w:t>
            </w:r>
          </w:p>
        </w:tc>
        <w:tc>
          <w:tcPr>
            <w:tcW w:w="6840" w:type="dxa"/>
            <w:gridSpan w:val="2"/>
            <w:tcBorders>
              <w:top w:val="single" w:sz="6" w:space="0" w:color="auto"/>
              <w:left w:val="single" w:sz="6" w:space="0" w:color="auto"/>
              <w:right w:val="single" w:sz="6" w:space="0" w:color="auto"/>
            </w:tcBorders>
            <w:noWrap/>
            <w:vAlign w:val="center"/>
          </w:tcPr>
          <w:p w:rsidR="00B5355D" w:rsidRPr="0006591E" w:rsidRDefault="00B5355D" w:rsidP="00905A5C">
            <w:pPr>
              <w:overflowPunct w:val="0"/>
              <w:autoSpaceDE w:val="0"/>
              <w:autoSpaceDN w:val="0"/>
              <w:adjustRightInd w:val="0"/>
              <w:spacing w:before="60"/>
              <w:jc w:val="center"/>
              <w:rPr>
                <w:sz w:val="20"/>
                <w:szCs w:val="20"/>
              </w:rPr>
            </w:pPr>
            <w:r w:rsidRPr="0006591E">
              <w:rPr>
                <w:sz w:val="20"/>
                <w:szCs w:val="20"/>
              </w:rPr>
              <w:t>Minimalna wartość dla KR5</w:t>
            </w:r>
            <w:r w:rsidR="00DA57BC">
              <w:rPr>
                <w:sz w:val="20"/>
                <w:szCs w:val="20"/>
              </w:rPr>
              <w:t xml:space="preserve"> ( nie dotyzcy)</w:t>
            </w:r>
            <w:bookmarkStart w:id="10" w:name="_GoBack"/>
            <w:bookmarkEnd w:id="10"/>
          </w:p>
        </w:tc>
      </w:tr>
      <w:tr w:rsidR="00B5355D" w:rsidRPr="0006591E" w:rsidTr="00905A5C">
        <w:tc>
          <w:tcPr>
            <w:tcW w:w="2590" w:type="dxa"/>
            <w:vMerge/>
            <w:tcBorders>
              <w:top w:val="single" w:sz="6" w:space="0" w:color="auto"/>
              <w:left w:val="single" w:sz="6" w:space="0" w:color="auto"/>
              <w:bottom w:val="single" w:sz="6" w:space="0" w:color="auto"/>
              <w:right w:val="nil"/>
            </w:tcBorders>
            <w:vAlign w:val="center"/>
          </w:tcPr>
          <w:p w:rsidR="00B5355D" w:rsidRPr="0006591E" w:rsidRDefault="00B5355D" w:rsidP="00905A5C">
            <w:pPr>
              <w:rPr>
                <w:sz w:val="20"/>
                <w:szCs w:val="20"/>
              </w:rPr>
            </w:pPr>
          </w:p>
        </w:tc>
        <w:tc>
          <w:tcPr>
            <w:tcW w:w="3420" w:type="dxa"/>
            <w:tcBorders>
              <w:top w:val="single" w:sz="6" w:space="0" w:color="auto"/>
              <w:left w:val="single" w:sz="6" w:space="0" w:color="auto"/>
              <w:bottom w:val="single" w:sz="6" w:space="0" w:color="auto"/>
              <w:right w:val="single" w:sz="6" w:space="0" w:color="auto"/>
            </w:tcBorders>
            <w:noWrap/>
            <w:vAlign w:val="center"/>
          </w:tcPr>
          <w:p w:rsidR="00B5355D" w:rsidRPr="0006591E" w:rsidRDefault="00B5355D" w:rsidP="00905A5C">
            <w:pPr>
              <w:overflowPunct w:val="0"/>
              <w:autoSpaceDE w:val="0"/>
              <w:autoSpaceDN w:val="0"/>
              <w:adjustRightInd w:val="0"/>
              <w:jc w:val="center"/>
              <w:rPr>
                <w:sz w:val="20"/>
                <w:szCs w:val="20"/>
              </w:rPr>
            </w:pPr>
            <w:proofErr w:type="spellStart"/>
            <w:r w:rsidRPr="0006591E">
              <w:rPr>
                <w:sz w:val="20"/>
                <w:szCs w:val="20"/>
              </w:rPr>
              <w:t>I</w:t>
            </w:r>
            <w:r w:rsidRPr="0006591E">
              <w:rPr>
                <w:sz w:val="20"/>
                <w:szCs w:val="20"/>
                <w:vertAlign w:val="subscript"/>
              </w:rPr>
              <w:t>s</w:t>
            </w:r>
            <w:proofErr w:type="spellEnd"/>
          </w:p>
        </w:tc>
        <w:tc>
          <w:tcPr>
            <w:tcW w:w="3420" w:type="dxa"/>
            <w:tcBorders>
              <w:top w:val="single" w:sz="6" w:space="0" w:color="auto"/>
              <w:left w:val="single" w:sz="6" w:space="0" w:color="auto"/>
              <w:bottom w:val="single" w:sz="6" w:space="0" w:color="auto"/>
              <w:right w:val="single" w:sz="6" w:space="0" w:color="auto"/>
            </w:tcBorders>
            <w:vAlign w:val="center"/>
          </w:tcPr>
          <w:p w:rsidR="00B5355D" w:rsidRPr="0006591E" w:rsidRDefault="00B5355D" w:rsidP="00905A5C">
            <w:pPr>
              <w:overflowPunct w:val="0"/>
              <w:autoSpaceDE w:val="0"/>
              <w:autoSpaceDN w:val="0"/>
              <w:adjustRightInd w:val="0"/>
              <w:jc w:val="center"/>
              <w:rPr>
                <w:sz w:val="20"/>
                <w:szCs w:val="20"/>
              </w:rPr>
            </w:pPr>
            <w:r w:rsidRPr="0006591E">
              <w:rPr>
                <w:sz w:val="20"/>
                <w:szCs w:val="20"/>
              </w:rPr>
              <w:t>E</w:t>
            </w:r>
            <w:r w:rsidRPr="0006591E">
              <w:rPr>
                <w:sz w:val="20"/>
                <w:szCs w:val="20"/>
                <w:vertAlign w:val="subscript"/>
              </w:rPr>
              <w:t>2</w:t>
            </w:r>
          </w:p>
        </w:tc>
      </w:tr>
      <w:tr w:rsidR="00B5355D" w:rsidRPr="0006591E" w:rsidTr="00905A5C">
        <w:trPr>
          <w:trHeight w:val="177"/>
        </w:trPr>
        <w:tc>
          <w:tcPr>
            <w:tcW w:w="2590" w:type="dxa"/>
            <w:vMerge w:val="restart"/>
            <w:tcBorders>
              <w:top w:val="single" w:sz="6" w:space="0" w:color="auto"/>
              <w:left w:val="single" w:sz="6" w:space="0" w:color="auto"/>
              <w:right w:val="single" w:sz="6" w:space="0" w:color="auto"/>
            </w:tcBorders>
            <w:noWrap/>
            <w:vAlign w:val="center"/>
          </w:tcPr>
          <w:p w:rsidR="00B5355D" w:rsidRPr="0006591E" w:rsidRDefault="00B5355D" w:rsidP="00905A5C">
            <w:pPr>
              <w:overflowPunct w:val="0"/>
              <w:autoSpaceDE w:val="0"/>
              <w:autoSpaceDN w:val="0"/>
              <w:adjustRightInd w:val="0"/>
              <w:spacing w:before="60" w:after="60"/>
              <w:jc w:val="center"/>
              <w:rPr>
                <w:sz w:val="20"/>
                <w:szCs w:val="20"/>
              </w:rPr>
            </w:pPr>
            <w:r w:rsidRPr="0006591E">
              <w:rPr>
                <w:sz w:val="20"/>
                <w:szCs w:val="20"/>
              </w:rPr>
              <w:t xml:space="preserve">do 0,5 </w:t>
            </w:r>
          </w:p>
        </w:tc>
        <w:tc>
          <w:tcPr>
            <w:tcW w:w="3420" w:type="dxa"/>
            <w:vMerge w:val="restart"/>
            <w:tcBorders>
              <w:top w:val="single" w:sz="6" w:space="0" w:color="auto"/>
              <w:left w:val="single" w:sz="6" w:space="0" w:color="auto"/>
              <w:right w:val="single" w:sz="6" w:space="0" w:color="auto"/>
            </w:tcBorders>
            <w:noWrap/>
            <w:vAlign w:val="center"/>
          </w:tcPr>
          <w:p w:rsidR="00B5355D" w:rsidRPr="0006591E" w:rsidRDefault="00B5355D" w:rsidP="00905A5C">
            <w:pPr>
              <w:overflowPunct w:val="0"/>
              <w:autoSpaceDE w:val="0"/>
              <w:autoSpaceDN w:val="0"/>
              <w:adjustRightInd w:val="0"/>
              <w:spacing w:before="60" w:after="60"/>
              <w:jc w:val="center"/>
              <w:rPr>
                <w:sz w:val="20"/>
                <w:szCs w:val="20"/>
              </w:rPr>
            </w:pPr>
            <w:r w:rsidRPr="0006591E">
              <w:rPr>
                <w:sz w:val="20"/>
                <w:szCs w:val="20"/>
              </w:rPr>
              <w:t>1,00</w:t>
            </w:r>
          </w:p>
        </w:tc>
        <w:tc>
          <w:tcPr>
            <w:tcW w:w="3420" w:type="dxa"/>
            <w:tcBorders>
              <w:top w:val="single" w:sz="6" w:space="0" w:color="auto"/>
              <w:left w:val="single" w:sz="6" w:space="0" w:color="auto"/>
              <w:bottom w:val="single" w:sz="6" w:space="0" w:color="auto"/>
              <w:right w:val="single" w:sz="6" w:space="0" w:color="auto"/>
            </w:tcBorders>
            <w:vAlign w:val="center"/>
          </w:tcPr>
          <w:p w:rsidR="00B5355D" w:rsidRPr="0006591E" w:rsidRDefault="00B5355D" w:rsidP="00905A5C">
            <w:pPr>
              <w:overflowPunct w:val="0"/>
              <w:autoSpaceDE w:val="0"/>
              <w:autoSpaceDN w:val="0"/>
              <w:adjustRightInd w:val="0"/>
              <w:spacing w:before="60" w:after="60"/>
              <w:jc w:val="center"/>
              <w:rPr>
                <w:sz w:val="20"/>
                <w:szCs w:val="20"/>
              </w:rPr>
            </w:pPr>
            <w:r w:rsidRPr="0006591E">
              <w:rPr>
                <w:sz w:val="20"/>
                <w:szCs w:val="20"/>
              </w:rPr>
              <w:t xml:space="preserve">60 </w:t>
            </w:r>
            <w:proofErr w:type="spellStart"/>
            <w:r w:rsidRPr="0006591E">
              <w:rPr>
                <w:sz w:val="20"/>
                <w:szCs w:val="20"/>
              </w:rPr>
              <w:t>MPa</w:t>
            </w:r>
            <w:proofErr w:type="spellEnd"/>
            <w:r w:rsidRPr="0006591E">
              <w:rPr>
                <w:sz w:val="20"/>
                <w:szCs w:val="20"/>
              </w:rPr>
              <w:t xml:space="preserve"> grunty spoiste</w:t>
            </w:r>
          </w:p>
        </w:tc>
      </w:tr>
      <w:tr w:rsidR="00B5355D" w:rsidRPr="0006591E" w:rsidTr="00905A5C">
        <w:trPr>
          <w:trHeight w:val="176"/>
        </w:trPr>
        <w:tc>
          <w:tcPr>
            <w:tcW w:w="2590" w:type="dxa"/>
            <w:vMerge/>
            <w:tcBorders>
              <w:left w:val="single" w:sz="6" w:space="0" w:color="auto"/>
              <w:bottom w:val="single" w:sz="6" w:space="0" w:color="auto"/>
              <w:right w:val="single" w:sz="6" w:space="0" w:color="auto"/>
            </w:tcBorders>
            <w:noWrap/>
            <w:vAlign w:val="center"/>
          </w:tcPr>
          <w:p w:rsidR="00B5355D" w:rsidRPr="0006591E" w:rsidRDefault="00B5355D" w:rsidP="00905A5C">
            <w:pPr>
              <w:overflowPunct w:val="0"/>
              <w:autoSpaceDE w:val="0"/>
              <w:autoSpaceDN w:val="0"/>
              <w:adjustRightInd w:val="0"/>
              <w:spacing w:before="60" w:after="60"/>
              <w:jc w:val="center"/>
              <w:rPr>
                <w:sz w:val="20"/>
                <w:szCs w:val="20"/>
              </w:rPr>
            </w:pPr>
          </w:p>
        </w:tc>
        <w:tc>
          <w:tcPr>
            <w:tcW w:w="3420" w:type="dxa"/>
            <w:vMerge/>
            <w:tcBorders>
              <w:left w:val="single" w:sz="6" w:space="0" w:color="auto"/>
              <w:bottom w:val="single" w:sz="6" w:space="0" w:color="auto"/>
              <w:right w:val="single" w:sz="6" w:space="0" w:color="auto"/>
            </w:tcBorders>
            <w:noWrap/>
            <w:vAlign w:val="center"/>
          </w:tcPr>
          <w:p w:rsidR="00B5355D" w:rsidRPr="0006591E" w:rsidRDefault="00B5355D" w:rsidP="00905A5C">
            <w:pPr>
              <w:overflowPunct w:val="0"/>
              <w:autoSpaceDE w:val="0"/>
              <w:autoSpaceDN w:val="0"/>
              <w:adjustRightInd w:val="0"/>
              <w:spacing w:before="60" w:after="60"/>
              <w:jc w:val="center"/>
              <w:rPr>
                <w:sz w:val="20"/>
                <w:szCs w:val="20"/>
              </w:rPr>
            </w:pPr>
          </w:p>
        </w:tc>
        <w:tc>
          <w:tcPr>
            <w:tcW w:w="3420" w:type="dxa"/>
            <w:tcBorders>
              <w:top w:val="single" w:sz="6" w:space="0" w:color="auto"/>
              <w:left w:val="single" w:sz="6" w:space="0" w:color="auto"/>
              <w:bottom w:val="single" w:sz="6" w:space="0" w:color="auto"/>
              <w:right w:val="single" w:sz="6" w:space="0" w:color="auto"/>
            </w:tcBorders>
            <w:vAlign w:val="center"/>
          </w:tcPr>
          <w:p w:rsidR="00B5355D" w:rsidRPr="0006591E" w:rsidRDefault="00B5355D" w:rsidP="00905A5C">
            <w:pPr>
              <w:overflowPunct w:val="0"/>
              <w:autoSpaceDE w:val="0"/>
              <w:autoSpaceDN w:val="0"/>
              <w:adjustRightInd w:val="0"/>
              <w:spacing w:before="60" w:after="60"/>
              <w:jc w:val="center"/>
              <w:rPr>
                <w:sz w:val="20"/>
                <w:szCs w:val="20"/>
              </w:rPr>
            </w:pPr>
            <w:r w:rsidRPr="0006591E">
              <w:rPr>
                <w:sz w:val="20"/>
                <w:szCs w:val="20"/>
              </w:rPr>
              <w:t xml:space="preserve">100 </w:t>
            </w:r>
            <w:proofErr w:type="spellStart"/>
            <w:r w:rsidRPr="0006591E">
              <w:rPr>
                <w:sz w:val="20"/>
                <w:szCs w:val="20"/>
              </w:rPr>
              <w:t>MPa</w:t>
            </w:r>
            <w:proofErr w:type="spellEnd"/>
            <w:r w:rsidRPr="0006591E">
              <w:rPr>
                <w:sz w:val="20"/>
                <w:szCs w:val="20"/>
              </w:rPr>
              <w:t xml:space="preserve"> grunty niespoiste</w:t>
            </w:r>
          </w:p>
        </w:tc>
      </w:tr>
    </w:tbl>
    <w:p w:rsidR="00B5355D" w:rsidRPr="0006591E" w:rsidRDefault="00B5355D" w:rsidP="00B5355D">
      <w:pPr>
        <w:overflowPunct w:val="0"/>
        <w:autoSpaceDE w:val="0"/>
        <w:autoSpaceDN w:val="0"/>
        <w:adjustRightInd w:val="0"/>
        <w:jc w:val="both"/>
        <w:rPr>
          <w:sz w:val="20"/>
          <w:szCs w:val="20"/>
        </w:rPr>
      </w:pPr>
    </w:p>
    <w:p w:rsidR="00B5355D" w:rsidRPr="0006591E" w:rsidRDefault="00B5355D" w:rsidP="00B5355D">
      <w:pPr>
        <w:jc w:val="both"/>
        <w:rPr>
          <w:sz w:val="20"/>
        </w:rPr>
      </w:pPr>
      <w:r w:rsidRPr="0006591E">
        <w:rPr>
          <w:sz w:val="20"/>
        </w:rPr>
        <w:t>5.3.1.3. Spulchnienie gruntów w podłożu nasypów</w:t>
      </w:r>
    </w:p>
    <w:p w:rsidR="00B5355D" w:rsidRPr="0006591E" w:rsidRDefault="00B5355D" w:rsidP="00B5355D">
      <w:pPr>
        <w:jc w:val="both"/>
        <w:rPr>
          <w:sz w:val="20"/>
        </w:rPr>
      </w:pPr>
      <w:r w:rsidRPr="0006591E">
        <w:rPr>
          <w:sz w:val="20"/>
        </w:rPr>
        <w:t xml:space="preserve">Jeżeli nasyp ma być budowany na powierzchni skały lub na innej gładkiej powierzchni, to przed przystąpieniem do budowy nasypu powinna ona być rozdrobniona lub spulchniona na głębokość co najmniej </w:t>
      </w:r>
      <w:smartTag w:uri="urn:schemas-microsoft-com:office:smarttags" w:element="metricconverter">
        <w:smartTagPr>
          <w:attr w:name="ProductID" w:val="15 cm"/>
        </w:smartTagPr>
        <w:r w:rsidRPr="0006591E">
          <w:rPr>
            <w:sz w:val="20"/>
          </w:rPr>
          <w:t>15 cm</w:t>
        </w:r>
      </w:smartTag>
      <w:r w:rsidRPr="0006591E">
        <w:rPr>
          <w:sz w:val="20"/>
        </w:rPr>
        <w:t>, w celu poprawy jej powiązania z podstawą nasypu.</w:t>
      </w:r>
    </w:p>
    <w:p w:rsidR="00B5355D" w:rsidRPr="0006591E" w:rsidRDefault="00B5355D" w:rsidP="00B5355D">
      <w:pPr>
        <w:rPr>
          <w:sz w:val="20"/>
        </w:rPr>
      </w:pPr>
      <w:r w:rsidRPr="0006591E">
        <w:rPr>
          <w:b/>
          <w:sz w:val="20"/>
        </w:rPr>
        <w:t>5.3.2. Wybór gruntów i materiałów do wykonania nasypów</w:t>
      </w:r>
    </w:p>
    <w:p w:rsidR="00B5355D" w:rsidRPr="0006591E" w:rsidRDefault="00B5355D" w:rsidP="00B5355D">
      <w:pPr>
        <w:jc w:val="both"/>
        <w:rPr>
          <w:sz w:val="20"/>
        </w:rPr>
      </w:pPr>
      <w:r w:rsidRPr="0006591E">
        <w:rPr>
          <w:sz w:val="20"/>
        </w:rPr>
        <w:t>Wybór gruntów i materiałów do wykonania nasypów powinien być dokonany z uwzględnieniem zasad podanych w punkcie 2.</w:t>
      </w:r>
    </w:p>
    <w:p w:rsidR="00B5355D" w:rsidRPr="0006591E" w:rsidRDefault="00B5355D" w:rsidP="00B5355D">
      <w:pPr>
        <w:jc w:val="both"/>
        <w:rPr>
          <w:sz w:val="20"/>
        </w:rPr>
      </w:pPr>
      <w:r w:rsidRPr="0006591E">
        <w:rPr>
          <w:b/>
          <w:sz w:val="20"/>
        </w:rPr>
        <w:lastRenderedPageBreak/>
        <w:t>5.3.3. Zasady wykonania nasypów</w:t>
      </w:r>
    </w:p>
    <w:p w:rsidR="00B5355D" w:rsidRPr="0006591E" w:rsidRDefault="00B5355D" w:rsidP="00B5355D">
      <w:pPr>
        <w:jc w:val="both"/>
        <w:rPr>
          <w:sz w:val="20"/>
        </w:rPr>
      </w:pPr>
      <w:r w:rsidRPr="0006591E">
        <w:rPr>
          <w:sz w:val="20"/>
        </w:rPr>
        <w:t>5.3.3.1.</w:t>
      </w:r>
      <w:r w:rsidRPr="0006591E">
        <w:rPr>
          <w:b/>
          <w:sz w:val="20"/>
        </w:rPr>
        <w:t xml:space="preserve"> </w:t>
      </w:r>
      <w:r w:rsidRPr="0006591E">
        <w:rPr>
          <w:sz w:val="20"/>
        </w:rPr>
        <w:t>Ogólne zasady wykonywania nasypów</w:t>
      </w:r>
    </w:p>
    <w:p w:rsidR="00B5355D" w:rsidRPr="0006591E" w:rsidRDefault="00B5355D" w:rsidP="00B5355D">
      <w:pPr>
        <w:jc w:val="both"/>
        <w:rPr>
          <w:sz w:val="20"/>
        </w:rPr>
      </w:pPr>
      <w:r w:rsidRPr="0006591E">
        <w:rPr>
          <w:sz w:val="20"/>
        </w:rPr>
        <w:t>Nasypy powinny być wznoszone przy zachowaniu przekroju poprzecznego i profilu podłużnego, które określono w dokumentacji projektowej, z uwzględnieniem ewentualnych zmian wprowadzonych zawczasu przez Inspektora Nadzoru.</w:t>
      </w:r>
    </w:p>
    <w:p w:rsidR="00B5355D" w:rsidRPr="0006591E" w:rsidRDefault="00B5355D" w:rsidP="00B5355D">
      <w:pPr>
        <w:jc w:val="both"/>
        <w:rPr>
          <w:sz w:val="20"/>
        </w:rPr>
      </w:pPr>
      <w:r w:rsidRPr="0006591E">
        <w:rPr>
          <w:sz w:val="20"/>
        </w:rPr>
        <w:t>W celu zapewnienia stateczności nasypu i jego równomiernego osiadania należy przestrzegać następujących zasad:</w:t>
      </w:r>
    </w:p>
    <w:p w:rsidR="00B5355D" w:rsidRPr="0006591E" w:rsidRDefault="00B5355D" w:rsidP="00B5355D">
      <w:pPr>
        <w:numPr>
          <w:ilvl w:val="0"/>
          <w:numId w:val="1"/>
        </w:numPr>
        <w:jc w:val="both"/>
        <w:rPr>
          <w:sz w:val="20"/>
        </w:rPr>
      </w:pPr>
      <w:r w:rsidRPr="0006591E">
        <w:rPr>
          <w:sz w:val="20"/>
        </w:rPr>
        <w:t>Nasypy należy wykonywać metodą warstwową, z gruntów przydatnych do budowy nasypów. Nasypy powinny być wznoszone równomiernie na całej szerokości.</w:t>
      </w:r>
    </w:p>
    <w:p w:rsidR="00B5355D" w:rsidRPr="0006591E" w:rsidRDefault="00B5355D" w:rsidP="00B5355D">
      <w:pPr>
        <w:numPr>
          <w:ilvl w:val="0"/>
          <w:numId w:val="1"/>
        </w:numPr>
        <w:jc w:val="both"/>
        <w:rPr>
          <w:sz w:val="20"/>
        </w:rPr>
      </w:pPr>
      <w:r w:rsidRPr="0006591E">
        <w:rPr>
          <w:sz w:val="20"/>
        </w:rPr>
        <w:t>Grubość warstwy w stanie luźnym powinna być odpowiednio dobrana w zależności od rodzaju gruntu i sprzętu używanego do zagęszczania. Przystąpienie do wbudowania kolejnej warstwy nasypu może nastąpić dopiero po stwierdzeniu przez Inspektora Nadzoru prawidłowego wykonania warstwy poprzedniej.</w:t>
      </w:r>
    </w:p>
    <w:p w:rsidR="00B5355D" w:rsidRPr="0006591E" w:rsidRDefault="00B5355D" w:rsidP="00B5355D">
      <w:pPr>
        <w:numPr>
          <w:ilvl w:val="0"/>
          <w:numId w:val="1"/>
        </w:numPr>
        <w:jc w:val="both"/>
        <w:rPr>
          <w:sz w:val="20"/>
        </w:rPr>
      </w:pPr>
      <w:r w:rsidRPr="0006591E">
        <w:rPr>
          <w:sz w:val="20"/>
        </w:rPr>
        <w:t>Grunty o różnych właściwościach należy wbudowywać w oddzielnych warstwach, o jednakowej grubości na całej szerokości nasypu. Grunty spoiste należy wbudowywać w dolne, a grunty niespoiste w górne warstwy nasypu.</w:t>
      </w:r>
    </w:p>
    <w:p w:rsidR="00B5355D" w:rsidRPr="0006591E" w:rsidRDefault="00B5355D" w:rsidP="00B5355D">
      <w:pPr>
        <w:numPr>
          <w:ilvl w:val="0"/>
          <w:numId w:val="1"/>
        </w:numPr>
        <w:jc w:val="both"/>
        <w:rPr>
          <w:sz w:val="20"/>
        </w:rPr>
      </w:pPr>
      <w:r w:rsidRPr="0006591E">
        <w:rPr>
          <w:sz w:val="20"/>
        </w:rPr>
        <w:t xml:space="preserve">Warstwy gruntu przepuszczalnego należy wbudowywać poziomo, a warstwy gruntu mało przepuszczalnego ze spadkiem górnej powierzchni około 4% </w:t>
      </w:r>
      <w:r w:rsidRPr="0006591E">
        <w:rPr>
          <w:sz w:val="20"/>
        </w:rPr>
        <w:sym w:font="Symbol" w:char="F0B1"/>
      </w:r>
      <w:r w:rsidRPr="0006591E">
        <w:rPr>
          <w:sz w:val="20"/>
        </w:rPr>
        <w:t xml:space="preserve"> 1%. Kiedy nasyp jest budowany w terenie płaskim spadek powinien być obustronny, gdy nasyp jest budowany na zboczu spadek powinien być jednostronny, zgodny z jego pochyleniem. Ukształtowanie powierzchni warstwy powinno uniemożliwiać lokalne gromadzenie się wody.</w:t>
      </w:r>
    </w:p>
    <w:p w:rsidR="00B5355D" w:rsidRPr="0006591E" w:rsidRDefault="00B5355D" w:rsidP="00B5355D">
      <w:pPr>
        <w:numPr>
          <w:ilvl w:val="0"/>
          <w:numId w:val="1"/>
        </w:numPr>
        <w:jc w:val="both"/>
        <w:rPr>
          <w:sz w:val="20"/>
        </w:rPr>
      </w:pPr>
      <w:r w:rsidRPr="0006591E">
        <w:rPr>
          <w:sz w:val="20"/>
        </w:rPr>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rsidR="00B5355D" w:rsidRPr="0006591E" w:rsidRDefault="00B5355D" w:rsidP="00B5355D">
      <w:pPr>
        <w:numPr>
          <w:ilvl w:val="0"/>
          <w:numId w:val="1"/>
        </w:numPr>
        <w:jc w:val="both"/>
        <w:rPr>
          <w:sz w:val="20"/>
        </w:rPr>
      </w:pPr>
      <w:r w:rsidRPr="0006591E">
        <w:rPr>
          <w:sz w:val="20"/>
        </w:rPr>
        <w:t xml:space="preserve">Górną warstwę nasypu, o grubości co najmniej </w:t>
      </w:r>
      <w:smartTag w:uri="urn:schemas-microsoft-com:office:smarttags" w:element="metricconverter">
        <w:smartTagPr>
          <w:attr w:name="ProductID" w:val="0,5 m"/>
        </w:smartTagPr>
        <w:r w:rsidRPr="0006591E">
          <w:rPr>
            <w:sz w:val="20"/>
          </w:rPr>
          <w:t>0,5 m</w:t>
        </w:r>
      </w:smartTag>
      <w:r w:rsidRPr="0006591E">
        <w:rPr>
          <w:sz w:val="20"/>
        </w:rPr>
        <w:t xml:space="preserve"> należy wykonać z gruntów </w:t>
      </w:r>
      <w:proofErr w:type="spellStart"/>
      <w:r w:rsidRPr="0006591E">
        <w:rPr>
          <w:sz w:val="20"/>
        </w:rPr>
        <w:t>niewysadzinowych</w:t>
      </w:r>
      <w:proofErr w:type="spellEnd"/>
      <w:r w:rsidRPr="0006591E">
        <w:rPr>
          <w:sz w:val="20"/>
        </w:rPr>
        <w:t>, o wskaźniku wodoprzepuszczalności K</w:t>
      </w:r>
      <w:r w:rsidRPr="0006591E">
        <w:rPr>
          <w:sz w:val="20"/>
          <w:vertAlign w:val="subscript"/>
        </w:rPr>
        <w:t xml:space="preserve">10 </w:t>
      </w:r>
      <w:r w:rsidRPr="0006591E">
        <w:rPr>
          <w:sz w:val="20"/>
        </w:rPr>
        <w:sym w:font="Symbol" w:char="00B3"/>
      </w:r>
      <w:r w:rsidRPr="0006591E">
        <w:rPr>
          <w:sz w:val="20"/>
        </w:rPr>
        <w:t xml:space="preserve"> 6 </w:t>
      </w:r>
      <w:r>
        <w:rPr>
          <w:noProof/>
          <w:sz w:val="20"/>
          <w:vertAlign w:val="subscript"/>
        </w:rPr>
        <w:drawing>
          <wp:inline distT="0" distB="0" distL="0" distR="0">
            <wp:extent cx="114300" cy="1143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06591E">
        <w:rPr>
          <w:sz w:val="20"/>
        </w:rPr>
        <w:t xml:space="preserve">10 </w:t>
      </w:r>
      <w:r w:rsidRPr="0006591E">
        <w:rPr>
          <w:sz w:val="20"/>
          <w:vertAlign w:val="superscript"/>
        </w:rPr>
        <w:t xml:space="preserve">–5 </w:t>
      </w:r>
      <w:r w:rsidRPr="0006591E">
        <w:rPr>
          <w:sz w:val="20"/>
        </w:rPr>
        <w:t xml:space="preserve">m/s i wskaźniku różnoziarnistości U </w:t>
      </w:r>
      <w:r w:rsidRPr="0006591E">
        <w:rPr>
          <w:sz w:val="20"/>
        </w:rPr>
        <w:sym w:font="Symbol" w:char="00B3"/>
      </w:r>
      <w:r w:rsidRPr="0006591E">
        <w:rPr>
          <w:sz w:val="20"/>
        </w:rPr>
        <w:t xml:space="preserve"> 5. Jeżeli Wykonawca nie dysponuje gruntem o takich właściwościach, Inspektor Nadzoru może wyrazić zgodę na ulepszenie górnej warstwy nasypu poprzez stabilizację cementem. W takim przypadku jest konieczne sprawdzenie warunku nośności i mrozoodporności konstrukcji nawierzchni i wprowadzenie korekty, polegającej na rozbudowaniu podbudowy pomocniczej.</w:t>
      </w:r>
    </w:p>
    <w:p w:rsidR="00B5355D" w:rsidRPr="0006591E" w:rsidRDefault="00B5355D" w:rsidP="00B5355D">
      <w:pPr>
        <w:numPr>
          <w:ilvl w:val="0"/>
          <w:numId w:val="1"/>
        </w:numPr>
        <w:jc w:val="both"/>
        <w:rPr>
          <w:sz w:val="20"/>
        </w:rPr>
      </w:pPr>
      <w:r w:rsidRPr="0006591E">
        <w:rPr>
          <w:sz w:val="20"/>
        </w:rPr>
        <w:t>Grunt przewieziony w miejsce wbudowania powinien być bezzwłocznie wbudowany w nasyp. Inspektor Nadzoru może dopuścić czasowe składowanie gruntu, pod warunkiem jego zabezpieczenia przed nadmiernym zawilgoceniem.</w:t>
      </w:r>
    </w:p>
    <w:p w:rsidR="00B5355D" w:rsidRPr="0006591E" w:rsidRDefault="00B5355D" w:rsidP="00B5355D">
      <w:pPr>
        <w:jc w:val="both"/>
        <w:rPr>
          <w:sz w:val="20"/>
        </w:rPr>
      </w:pPr>
      <w:r w:rsidRPr="0006591E">
        <w:rPr>
          <w:sz w:val="20"/>
        </w:rPr>
        <w:t>5.3.3.2. Wykonywanie nasypów w okresie deszczów</w:t>
      </w:r>
    </w:p>
    <w:p w:rsidR="00B5355D" w:rsidRPr="0006591E" w:rsidRDefault="00B5355D" w:rsidP="00B5355D">
      <w:pPr>
        <w:jc w:val="both"/>
        <w:rPr>
          <w:sz w:val="20"/>
        </w:rPr>
      </w:pPr>
      <w:r w:rsidRPr="0006591E">
        <w:rPr>
          <w:sz w:val="20"/>
        </w:rPr>
        <w:t>Wykonywanie nasypów należy przerwać, jeżeli wilgotność gruntu przekracza wartość dopuszczalną, to znaczy jest większa od wilgotności optymalnej o więcej niż 2% od wilgotności optymalnej.</w:t>
      </w:r>
    </w:p>
    <w:p w:rsidR="00B5355D" w:rsidRPr="0006591E" w:rsidRDefault="00B5355D" w:rsidP="00B5355D">
      <w:pPr>
        <w:jc w:val="both"/>
        <w:rPr>
          <w:sz w:val="20"/>
        </w:rPr>
      </w:pPr>
      <w:r w:rsidRPr="0006591E">
        <w:rPr>
          <w:sz w:val="20"/>
        </w:rPr>
        <w:t>Na warstwie gruntu nadmiernie zawilgoconego nie wolno układać następnej warstwy gruntu.</w:t>
      </w:r>
    </w:p>
    <w:p w:rsidR="00B5355D" w:rsidRPr="0006591E" w:rsidRDefault="00B5355D" w:rsidP="00B5355D">
      <w:pPr>
        <w:jc w:val="both"/>
        <w:rPr>
          <w:sz w:val="20"/>
        </w:rPr>
      </w:pPr>
      <w:r w:rsidRPr="0006591E">
        <w:rPr>
          <w:sz w:val="20"/>
        </w:rPr>
        <w:t>Osuszenie można przeprowadzić w sposób mechaniczny lub chemiczny, poprzez wymieszanie z wapnem palonym albo hydratyzowanym.</w:t>
      </w:r>
    </w:p>
    <w:p w:rsidR="00B5355D" w:rsidRPr="0006591E" w:rsidRDefault="00B5355D" w:rsidP="00B5355D">
      <w:pPr>
        <w:jc w:val="both"/>
        <w:rPr>
          <w:sz w:val="20"/>
        </w:rPr>
      </w:pPr>
      <w:r w:rsidRPr="0006591E">
        <w:rPr>
          <w:sz w:val="20"/>
        </w:rPr>
        <w:t>W celu zabezpieczenia nasypu przed nadmiernym zawilgoceniem, poszczególne jego warstwy oraz korona nasypu po zakończeniu robót ziemnych powinny być równe i mieć spadki potrzebne do prawidłowego odwodnienia, według pktu 5.4.3.1, poz. d).</w:t>
      </w:r>
    </w:p>
    <w:p w:rsidR="00B5355D" w:rsidRPr="0006591E" w:rsidRDefault="00B5355D" w:rsidP="00B5355D">
      <w:pPr>
        <w:jc w:val="both"/>
        <w:rPr>
          <w:sz w:val="20"/>
        </w:rPr>
      </w:pPr>
      <w:r w:rsidRPr="0006591E">
        <w:rPr>
          <w:sz w:val="20"/>
        </w:rPr>
        <w:t xml:space="preserve">W okresie deszczowym nie należy pozostawiać nie zagęszczonej warstwy do dnia następnego. Jeżeli warstwa gruntu niezagęszczonego uległa </w:t>
      </w:r>
      <w:proofErr w:type="spellStart"/>
      <w:r w:rsidRPr="0006591E">
        <w:rPr>
          <w:sz w:val="20"/>
        </w:rPr>
        <w:t>przewilgoceniu</w:t>
      </w:r>
      <w:proofErr w:type="spellEnd"/>
      <w:r w:rsidRPr="0006591E">
        <w:rPr>
          <w:sz w:val="20"/>
        </w:rPr>
        <w:t>, a Wykonawca nie jest w stanie osuszyć jej i zagęścić w czasie zaakceptowanym przez Inspektora Nadzoru, to może on nakazać Wykonawcy usunięcie wadliwej warstwy.</w:t>
      </w:r>
    </w:p>
    <w:p w:rsidR="00B5355D" w:rsidRPr="0006591E" w:rsidRDefault="00B5355D" w:rsidP="00B5355D">
      <w:pPr>
        <w:pStyle w:val="tekstost"/>
      </w:pPr>
      <w:r w:rsidRPr="0006591E">
        <w:t>5.3.3.3. Wykonywanie nasypów w okresie mrozów</w:t>
      </w:r>
    </w:p>
    <w:p w:rsidR="00B5355D" w:rsidRPr="0006591E" w:rsidRDefault="00B5355D" w:rsidP="00B5355D">
      <w:pPr>
        <w:jc w:val="both"/>
        <w:rPr>
          <w:sz w:val="20"/>
        </w:rPr>
      </w:pPr>
      <w:r w:rsidRPr="0006591E">
        <w:rPr>
          <w:sz w:val="20"/>
        </w:rPr>
        <w:t>Niedopuszczalne jest wykonywanie nasypów w temperaturze przy której nie jest możliwe osiągnięcie w nasypie wymaganego wskaźnika zagęszczenia gruntów.</w:t>
      </w:r>
    </w:p>
    <w:p w:rsidR="00B5355D" w:rsidRPr="0006591E" w:rsidRDefault="00B5355D" w:rsidP="00B5355D">
      <w:pPr>
        <w:jc w:val="both"/>
        <w:rPr>
          <w:sz w:val="20"/>
        </w:rPr>
      </w:pPr>
      <w:r w:rsidRPr="0006591E">
        <w:rPr>
          <w:sz w:val="20"/>
        </w:rPr>
        <w:t>Nie dopuszcza się wbudowania w nasyp gruntów zamarzniętych lub gruntów przemieszanych ze śniegiem lub lodem.</w:t>
      </w:r>
    </w:p>
    <w:p w:rsidR="00B5355D" w:rsidRPr="0006591E" w:rsidRDefault="00B5355D" w:rsidP="00B5355D">
      <w:pPr>
        <w:jc w:val="both"/>
        <w:rPr>
          <w:sz w:val="20"/>
        </w:rPr>
      </w:pPr>
      <w:r w:rsidRPr="0006591E">
        <w:rPr>
          <w:sz w:val="20"/>
        </w:rPr>
        <w:t>W czasie dużych opadów śniegu wykonywanie nasypów powinno być przerwane. Przed wznowieniem prac należy usunąć śnieg  z powierzchni wznoszonego nasypu.</w:t>
      </w:r>
    </w:p>
    <w:p w:rsidR="00B5355D" w:rsidRPr="0006591E" w:rsidRDefault="00B5355D" w:rsidP="00B5355D">
      <w:pPr>
        <w:jc w:val="both"/>
        <w:rPr>
          <w:sz w:val="20"/>
        </w:rPr>
      </w:pPr>
      <w:r w:rsidRPr="0006591E">
        <w:rPr>
          <w:sz w:val="20"/>
        </w:rPr>
        <w:t>Jeżeli warstwa niezagęszczonego gruntu zamarzła, to nie należy jej przed rozmarznięciem zagęszczać ani układać na niej następnych warstw.</w:t>
      </w:r>
    </w:p>
    <w:p w:rsidR="00B5355D" w:rsidRPr="0006591E" w:rsidRDefault="00B5355D" w:rsidP="00B5355D">
      <w:pPr>
        <w:keepNext/>
        <w:rPr>
          <w:b/>
          <w:sz w:val="20"/>
        </w:rPr>
      </w:pPr>
      <w:r w:rsidRPr="0006591E">
        <w:rPr>
          <w:b/>
          <w:sz w:val="20"/>
        </w:rPr>
        <w:t>5.3.4. Zagęszczenie gruntu</w:t>
      </w:r>
    </w:p>
    <w:p w:rsidR="00B5355D" w:rsidRPr="0006591E" w:rsidRDefault="00B5355D" w:rsidP="00B5355D">
      <w:pPr>
        <w:pStyle w:val="tekstost"/>
      </w:pPr>
      <w:r w:rsidRPr="0006591E">
        <w:t>5.3.4.1. Ogólne zasady zagęszczania gruntu</w:t>
      </w:r>
    </w:p>
    <w:p w:rsidR="00B5355D" w:rsidRPr="0006591E" w:rsidRDefault="00B5355D" w:rsidP="00B5355D">
      <w:pPr>
        <w:jc w:val="both"/>
        <w:rPr>
          <w:sz w:val="20"/>
        </w:rPr>
      </w:pPr>
      <w:r w:rsidRPr="0006591E">
        <w:rPr>
          <w:sz w:val="20"/>
        </w:rPr>
        <w:t>Każda warstwa gruntu jak najszybciej po jej rozłożeniu, powinna być zagęszczona z zastosowaniem sprzętu odpowiedniego dla danego rodzaju gruntu oraz występujących warunków.</w:t>
      </w:r>
    </w:p>
    <w:p w:rsidR="00B5355D" w:rsidRPr="0006591E" w:rsidRDefault="00B5355D" w:rsidP="00B5355D">
      <w:pPr>
        <w:jc w:val="both"/>
        <w:rPr>
          <w:sz w:val="20"/>
        </w:rPr>
      </w:pPr>
      <w:r w:rsidRPr="0006591E">
        <w:rPr>
          <w:sz w:val="20"/>
        </w:rPr>
        <w:t>Rozłożone warstwy gruntu należy zagęszczać od krawędzi nasypu w kierunku jego osi.</w:t>
      </w:r>
    </w:p>
    <w:p w:rsidR="00B5355D" w:rsidRPr="0006591E" w:rsidRDefault="00B5355D" w:rsidP="00B5355D">
      <w:pPr>
        <w:pStyle w:val="tekstost"/>
      </w:pPr>
      <w:r w:rsidRPr="0006591E">
        <w:t>5.3.4.2. Grubość warstwy</w:t>
      </w:r>
    </w:p>
    <w:p w:rsidR="00B5355D" w:rsidRPr="0006591E" w:rsidRDefault="00B5355D" w:rsidP="00B5355D">
      <w:pPr>
        <w:jc w:val="both"/>
        <w:rPr>
          <w:sz w:val="20"/>
        </w:rPr>
      </w:pPr>
      <w:r w:rsidRPr="0006591E">
        <w:rPr>
          <w:sz w:val="20"/>
        </w:rPr>
        <w:lastRenderedPageBreak/>
        <w:t>Grubość warstwy zagęszczonego gruntu oraz liczbę przejść maszyny zagęszczającej zaleca się określić doświadczalnie dla każdego rodzaju gruntu i typu maszyny.</w:t>
      </w:r>
    </w:p>
    <w:p w:rsidR="00B5355D" w:rsidRPr="0006591E" w:rsidRDefault="00B5355D" w:rsidP="00B5355D">
      <w:pPr>
        <w:jc w:val="both"/>
        <w:rPr>
          <w:sz w:val="20"/>
        </w:rPr>
      </w:pPr>
      <w:r w:rsidRPr="0006591E">
        <w:rPr>
          <w:sz w:val="20"/>
        </w:rPr>
        <w:t>Orientacyjne wartości, dotyczące grubości warstw różnych gruntów oraz liczby przejazdów różnych maszyn do zagęszczania podano w punkcie 3.</w:t>
      </w:r>
    </w:p>
    <w:p w:rsidR="00B5355D" w:rsidRPr="0006591E" w:rsidRDefault="00B5355D" w:rsidP="00B5355D">
      <w:pPr>
        <w:pStyle w:val="tekstost"/>
      </w:pPr>
      <w:r w:rsidRPr="0006591E">
        <w:t>5.3.4.3. Wilgotność gruntu</w:t>
      </w:r>
    </w:p>
    <w:p w:rsidR="00B5355D" w:rsidRPr="0006591E" w:rsidRDefault="00B5355D" w:rsidP="00B5355D">
      <w:pPr>
        <w:rPr>
          <w:sz w:val="20"/>
        </w:rPr>
      </w:pPr>
      <w:r w:rsidRPr="0006591E">
        <w:rPr>
          <w:sz w:val="20"/>
        </w:rPr>
        <w:t>Wilgotność gruntu w czasie zagęszczania powinna być równa wilgotności optymalnej, z tolerancją:</w:t>
      </w:r>
    </w:p>
    <w:p w:rsidR="00B5355D" w:rsidRPr="0006591E" w:rsidRDefault="00B5355D" w:rsidP="00B5355D">
      <w:pPr>
        <w:numPr>
          <w:ilvl w:val="0"/>
          <w:numId w:val="2"/>
        </w:numPr>
        <w:tabs>
          <w:tab w:val="left" w:pos="720"/>
          <w:tab w:val="left" w:pos="3780"/>
        </w:tabs>
        <w:rPr>
          <w:sz w:val="20"/>
        </w:rPr>
      </w:pPr>
      <w:r w:rsidRPr="0006591E">
        <w:rPr>
          <w:sz w:val="20"/>
        </w:rPr>
        <w:t>w gruntach niespoistych</w:t>
      </w:r>
      <w:r w:rsidRPr="0006591E">
        <w:rPr>
          <w:sz w:val="20"/>
        </w:rPr>
        <w:tab/>
      </w:r>
      <w:r w:rsidRPr="0006591E">
        <w:rPr>
          <w:sz w:val="20"/>
        </w:rPr>
        <w:sym w:font="Symbol" w:char="F0B1"/>
      </w:r>
      <w:r w:rsidRPr="0006591E">
        <w:rPr>
          <w:sz w:val="20"/>
        </w:rPr>
        <w:t>2 %</w:t>
      </w:r>
    </w:p>
    <w:p w:rsidR="00B5355D" w:rsidRPr="0006591E" w:rsidRDefault="00B5355D" w:rsidP="00B5355D">
      <w:pPr>
        <w:numPr>
          <w:ilvl w:val="0"/>
          <w:numId w:val="2"/>
        </w:numPr>
        <w:tabs>
          <w:tab w:val="left" w:pos="720"/>
          <w:tab w:val="left" w:pos="3780"/>
        </w:tabs>
        <w:rPr>
          <w:sz w:val="20"/>
        </w:rPr>
      </w:pPr>
      <w:r w:rsidRPr="0006591E">
        <w:rPr>
          <w:sz w:val="20"/>
        </w:rPr>
        <w:t>w gruntach mało i średnio spoistych</w:t>
      </w:r>
      <w:r w:rsidRPr="0006591E">
        <w:rPr>
          <w:sz w:val="20"/>
        </w:rPr>
        <w:tab/>
        <w:t xml:space="preserve">+0 %,  </w:t>
      </w:r>
      <w:r w:rsidRPr="0006591E">
        <w:rPr>
          <w:sz w:val="20"/>
        </w:rPr>
        <w:sym w:font="Symbol" w:char="F02D"/>
      </w:r>
      <w:r w:rsidRPr="0006591E">
        <w:rPr>
          <w:sz w:val="20"/>
        </w:rPr>
        <w:t>2 %</w:t>
      </w:r>
    </w:p>
    <w:p w:rsidR="00B5355D" w:rsidRPr="0006591E" w:rsidRDefault="00B5355D" w:rsidP="00B5355D">
      <w:pPr>
        <w:pStyle w:val="tekstost"/>
        <w:keepNext/>
      </w:pPr>
      <w:r w:rsidRPr="0006591E">
        <w:t>5.3.4.4. Wymagania dotyczące zagęszczania</w:t>
      </w:r>
    </w:p>
    <w:p w:rsidR="00B5355D" w:rsidRPr="0006591E" w:rsidRDefault="00B5355D" w:rsidP="00B5355D">
      <w:pPr>
        <w:jc w:val="both"/>
        <w:rPr>
          <w:sz w:val="20"/>
        </w:rPr>
      </w:pPr>
      <w:r w:rsidRPr="0006591E">
        <w:rPr>
          <w:sz w:val="20"/>
        </w:rPr>
        <w:t xml:space="preserve">Zgęszczenie warstwy należy określać za pomocą oznaczenia wskaźnika zagęszczenia </w:t>
      </w:r>
      <w:proofErr w:type="spellStart"/>
      <w:r w:rsidRPr="0006591E">
        <w:rPr>
          <w:sz w:val="20"/>
        </w:rPr>
        <w:t>I</w:t>
      </w:r>
      <w:r w:rsidRPr="0006591E">
        <w:rPr>
          <w:sz w:val="20"/>
          <w:vertAlign w:val="subscript"/>
        </w:rPr>
        <w:t>s</w:t>
      </w:r>
      <w:proofErr w:type="spellEnd"/>
      <w:r w:rsidRPr="0006591E">
        <w:rPr>
          <w:sz w:val="20"/>
        </w:rPr>
        <w:t>.</w:t>
      </w:r>
    </w:p>
    <w:p w:rsidR="00B5355D" w:rsidRPr="0006591E" w:rsidRDefault="00B5355D" w:rsidP="00B5355D">
      <w:pPr>
        <w:pStyle w:val="tekstost"/>
      </w:pPr>
      <w:r w:rsidRPr="0006591E">
        <w:t>Wskaźnik zagęszczenia gruntów w nasypach, określony według normy BN-77/8931-12 [4] lub wyznaczony z badań metodą płyty dynamicznej, powinien na całej szerokości korpusu spełniać wymagania podane w tablicy 3.</w:t>
      </w:r>
    </w:p>
    <w:p w:rsidR="00B5355D" w:rsidRPr="0006591E" w:rsidRDefault="00B5355D" w:rsidP="00B5355D">
      <w:pPr>
        <w:pStyle w:val="tekstost"/>
      </w:pPr>
      <w:r w:rsidRPr="0006591E">
        <w:t>Płyta obciążona dynamicznie może być zastosowana po odpowiednim skalibrowaniu sprzętu do danego rodzaju materiału/gruntu.</w:t>
      </w:r>
    </w:p>
    <w:p w:rsidR="00B5355D" w:rsidRPr="0006591E" w:rsidRDefault="00B5355D" w:rsidP="00B5355D">
      <w:pPr>
        <w:pStyle w:val="Stopka"/>
        <w:tabs>
          <w:tab w:val="clear" w:pos="4536"/>
          <w:tab w:val="clear" w:pos="9072"/>
        </w:tabs>
        <w:spacing w:before="120"/>
      </w:pPr>
      <w:r w:rsidRPr="0006591E">
        <w:rPr>
          <w:b/>
        </w:rPr>
        <w:t>Tablica 3.</w:t>
      </w:r>
      <w:r w:rsidRPr="0006591E">
        <w:t xml:space="preserve"> Minimalne wartości wskaźnika zagęszczenia gruntu w nasypach</w:t>
      </w:r>
    </w:p>
    <w:tbl>
      <w:tblPr>
        <w:tblW w:w="0" w:type="auto"/>
        <w:tblInd w:w="70" w:type="dxa"/>
        <w:tblLayout w:type="fixed"/>
        <w:tblCellMar>
          <w:left w:w="70" w:type="dxa"/>
          <w:right w:w="70" w:type="dxa"/>
        </w:tblCellMar>
        <w:tblLook w:val="0000"/>
      </w:tblPr>
      <w:tblGrid>
        <w:gridCol w:w="5940"/>
        <w:gridCol w:w="1620"/>
        <w:gridCol w:w="1800"/>
      </w:tblGrid>
      <w:tr w:rsidR="00B5355D" w:rsidRPr="0006591E" w:rsidTr="00905A5C">
        <w:trPr>
          <w:cantSplit/>
          <w:trHeight w:val="230"/>
        </w:trPr>
        <w:tc>
          <w:tcPr>
            <w:tcW w:w="5940" w:type="dxa"/>
            <w:vMerge w:val="restart"/>
            <w:tcBorders>
              <w:top w:val="single" w:sz="6" w:space="0" w:color="auto"/>
              <w:left w:val="single" w:sz="6" w:space="0" w:color="auto"/>
            </w:tcBorders>
            <w:vAlign w:val="center"/>
          </w:tcPr>
          <w:p w:rsidR="00B5355D" w:rsidRPr="0006591E" w:rsidRDefault="00B5355D" w:rsidP="00905A5C">
            <w:pPr>
              <w:jc w:val="center"/>
              <w:rPr>
                <w:b/>
                <w:sz w:val="20"/>
              </w:rPr>
            </w:pPr>
            <w:r w:rsidRPr="0006591E">
              <w:rPr>
                <w:sz w:val="20"/>
              </w:rPr>
              <w:t>Strefa nasypu</w:t>
            </w:r>
          </w:p>
        </w:tc>
        <w:tc>
          <w:tcPr>
            <w:tcW w:w="3420" w:type="dxa"/>
            <w:gridSpan w:val="2"/>
            <w:vMerge w:val="restart"/>
            <w:tcBorders>
              <w:top w:val="single" w:sz="6" w:space="0" w:color="auto"/>
              <w:left w:val="single" w:sz="6" w:space="0" w:color="auto"/>
              <w:right w:val="single" w:sz="6" w:space="0" w:color="auto"/>
            </w:tcBorders>
            <w:vAlign w:val="center"/>
          </w:tcPr>
          <w:p w:rsidR="00B5355D" w:rsidRPr="0006591E" w:rsidRDefault="00B5355D" w:rsidP="00905A5C">
            <w:pPr>
              <w:jc w:val="center"/>
              <w:rPr>
                <w:b/>
                <w:sz w:val="20"/>
              </w:rPr>
            </w:pPr>
            <w:r w:rsidRPr="0006591E">
              <w:rPr>
                <w:sz w:val="20"/>
              </w:rPr>
              <w:t xml:space="preserve">Minimalna wartość </w:t>
            </w:r>
            <w:proofErr w:type="spellStart"/>
            <w:r w:rsidRPr="0006591E">
              <w:rPr>
                <w:sz w:val="20"/>
              </w:rPr>
              <w:t>I</w:t>
            </w:r>
            <w:r w:rsidRPr="0006591E">
              <w:rPr>
                <w:sz w:val="20"/>
                <w:vertAlign w:val="subscript"/>
              </w:rPr>
              <w:t>s</w:t>
            </w:r>
            <w:proofErr w:type="spellEnd"/>
            <w:r w:rsidRPr="0006591E">
              <w:rPr>
                <w:sz w:val="20"/>
              </w:rPr>
              <w:t xml:space="preserve"> dla</w:t>
            </w:r>
          </w:p>
        </w:tc>
      </w:tr>
      <w:tr w:rsidR="00B5355D" w:rsidRPr="0006591E" w:rsidTr="00905A5C">
        <w:trPr>
          <w:cantSplit/>
          <w:trHeight w:val="230"/>
        </w:trPr>
        <w:tc>
          <w:tcPr>
            <w:tcW w:w="5940" w:type="dxa"/>
            <w:vMerge/>
            <w:tcBorders>
              <w:left w:val="single" w:sz="6" w:space="0" w:color="auto"/>
            </w:tcBorders>
            <w:vAlign w:val="center"/>
          </w:tcPr>
          <w:p w:rsidR="00B5355D" w:rsidRPr="0006591E" w:rsidRDefault="00B5355D" w:rsidP="00905A5C">
            <w:pPr>
              <w:jc w:val="center"/>
              <w:rPr>
                <w:sz w:val="20"/>
              </w:rPr>
            </w:pPr>
          </w:p>
        </w:tc>
        <w:tc>
          <w:tcPr>
            <w:tcW w:w="3420" w:type="dxa"/>
            <w:gridSpan w:val="2"/>
            <w:vMerge/>
            <w:tcBorders>
              <w:left w:val="single" w:sz="6" w:space="0" w:color="auto"/>
              <w:right w:val="single" w:sz="6" w:space="0" w:color="auto"/>
            </w:tcBorders>
            <w:vAlign w:val="center"/>
          </w:tcPr>
          <w:p w:rsidR="00B5355D" w:rsidRPr="0006591E" w:rsidRDefault="00B5355D" w:rsidP="00905A5C">
            <w:pPr>
              <w:jc w:val="center"/>
              <w:rPr>
                <w:sz w:val="20"/>
              </w:rPr>
            </w:pPr>
          </w:p>
        </w:tc>
      </w:tr>
      <w:tr w:rsidR="00B5355D" w:rsidRPr="0006591E" w:rsidTr="00905A5C">
        <w:trPr>
          <w:cantSplit/>
        </w:trPr>
        <w:tc>
          <w:tcPr>
            <w:tcW w:w="5940" w:type="dxa"/>
            <w:vMerge/>
            <w:tcBorders>
              <w:left w:val="single" w:sz="6" w:space="0" w:color="auto"/>
              <w:bottom w:val="single" w:sz="6" w:space="0" w:color="auto"/>
            </w:tcBorders>
            <w:vAlign w:val="center"/>
          </w:tcPr>
          <w:p w:rsidR="00B5355D" w:rsidRPr="0006591E" w:rsidRDefault="00B5355D" w:rsidP="00905A5C">
            <w:pPr>
              <w:jc w:val="center"/>
              <w:rPr>
                <w:sz w:val="20"/>
              </w:rPr>
            </w:pPr>
          </w:p>
        </w:tc>
        <w:tc>
          <w:tcPr>
            <w:tcW w:w="1620" w:type="dxa"/>
            <w:tcBorders>
              <w:top w:val="single" w:sz="4" w:space="0" w:color="auto"/>
              <w:left w:val="single" w:sz="4" w:space="0" w:color="auto"/>
              <w:bottom w:val="single" w:sz="6" w:space="0" w:color="auto"/>
              <w:right w:val="single" w:sz="6" w:space="0" w:color="auto"/>
            </w:tcBorders>
            <w:vAlign w:val="center"/>
          </w:tcPr>
          <w:p w:rsidR="00B5355D" w:rsidRPr="0006591E" w:rsidRDefault="00B5355D" w:rsidP="00905A5C">
            <w:pPr>
              <w:jc w:val="center"/>
              <w:rPr>
                <w:sz w:val="20"/>
              </w:rPr>
            </w:pPr>
            <w:r w:rsidRPr="0006591E">
              <w:rPr>
                <w:sz w:val="20"/>
              </w:rPr>
              <w:t>KR1</w:t>
            </w:r>
          </w:p>
        </w:tc>
        <w:tc>
          <w:tcPr>
            <w:tcW w:w="1800" w:type="dxa"/>
            <w:tcBorders>
              <w:top w:val="single" w:sz="4" w:space="0" w:color="auto"/>
              <w:left w:val="single" w:sz="4" w:space="0" w:color="auto"/>
              <w:bottom w:val="single" w:sz="6" w:space="0" w:color="auto"/>
              <w:right w:val="single" w:sz="6" w:space="0" w:color="auto"/>
            </w:tcBorders>
            <w:vAlign w:val="center"/>
          </w:tcPr>
          <w:p w:rsidR="00B5355D" w:rsidRPr="0006591E" w:rsidRDefault="00B5355D" w:rsidP="00905A5C">
            <w:pPr>
              <w:jc w:val="center"/>
              <w:rPr>
                <w:sz w:val="20"/>
              </w:rPr>
            </w:pPr>
            <w:r w:rsidRPr="0006591E">
              <w:rPr>
                <w:sz w:val="20"/>
              </w:rPr>
              <w:t>KR5</w:t>
            </w:r>
          </w:p>
        </w:tc>
      </w:tr>
      <w:tr w:rsidR="00B5355D" w:rsidRPr="0006591E" w:rsidTr="00905A5C">
        <w:trPr>
          <w:cantSplit/>
        </w:trPr>
        <w:tc>
          <w:tcPr>
            <w:tcW w:w="5940" w:type="dxa"/>
            <w:tcBorders>
              <w:top w:val="single" w:sz="6" w:space="0" w:color="auto"/>
              <w:left w:val="single" w:sz="6" w:space="0" w:color="auto"/>
              <w:bottom w:val="single" w:sz="6" w:space="0" w:color="auto"/>
              <w:right w:val="single" w:sz="6" w:space="0" w:color="auto"/>
            </w:tcBorders>
            <w:vAlign w:val="center"/>
          </w:tcPr>
          <w:p w:rsidR="00B5355D" w:rsidRPr="0006591E" w:rsidRDefault="00B5355D" w:rsidP="00905A5C">
            <w:pPr>
              <w:rPr>
                <w:sz w:val="20"/>
              </w:rPr>
            </w:pPr>
            <w:r w:rsidRPr="0006591E">
              <w:rPr>
                <w:sz w:val="20"/>
              </w:rPr>
              <w:t xml:space="preserve">Górna warstwa o grubości </w:t>
            </w:r>
            <w:smartTag w:uri="urn:schemas-microsoft-com:office:smarttags" w:element="metricconverter">
              <w:smartTagPr>
                <w:attr w:name="ProductID" w:val="20 cm"/>
              </w:smartTagPr>
              <w:r w:rsidRPr="0006591E">
                <w:rPr>
                  <w:sz w:val="20"/>
                </w:rPr>
                <w:t>20 cm</w:t>
              </w:r>
            </w:smartTag>
          </w:p>
        </w:tc>
        <w:tc>
          <w:tcPr>
            <w:tcW w:w="1620" w:type="dxa"/>
            <w:tcBorders>
              <w:top w:val="single" w:sz="6" w:space="0" w:color="auto"/>
              <w:left w:val="single" w:sz="6" w:space="0" w:color="auto"/>
              <w:bottom w:val="single" w:sz="6" w:space="0" w:color="auto"/>
              <w:right w:val="single" w:sz="6" w:space="0" w:color="auto"/>
            </w:tcBorders>
            <w:vAlign w:val="center"/>
          </w:tcPr>
          <w:p w:rsidR="00B5355D" w:rsidRPr="0006591E" w:rsidRDefault="00B5355D" w:rsidP="00905A5C">
            <w:pPr>
              <w:jc w:val="center"/>
              <w:rPr>
                <w:sz w:val="20"/>
              </w:rPr>
            </w:pPr>
            <w:r w:rsidRPr="0006591E">
              <w:rPr>
                <w:sz w:val="20"/>
              </w:rPr>
              <w:t>1,00</w:t>
            </w:r>
          </w:p>
        </w:tc>
        <w:tc>
          <w:tcPr>
            <w:tcW w:w="1800" w:type="dxa"/>
            <w:tcBorders>
              <w:top w:val="single" w:sz="6" w:space="0" w:color="auto"/>
              <w:left w:val="single" w:sz="6" w:space="0" w:color="auto"/>
              <w:bottom w:val="single" w:sz="6" w:space="0" w:color="auto"/>
              <w:right w:val="single" w:sz="6" w:space="0" w:color="auto"/>
            </w:tcBorders>
            <w:vAlign w:val="center"/>
          </w:tcPr>
          <w:p w:rsidR="00B5355D" w:rsidRPr="0006591E" w:rsidRDefault="00B5355D" w:rsidP="00905A5C">
            <w:pPr>
              <w:jc w:val="center"/>
              <w:rPr>
                <w:strike/>
                <w:sz w:val="20"/>
              </w:rPr>
            </w:pPr>
            <w:r w:rsidRPr="0006591E">
              <w:rPr>
                <w:sz w:val="20"/>
              </w:rPr>
              <w:t>1,03</w:t>
            </w:r>
          </w:p>
        </w:tc>
      </w:tr>
      <w:tr w:rsidR="00B5355D" w:rsidRPr="0006591E" w:rsidTr="00905A5C">
        <w:trPr>
          <w:cantSplit/>
          <w:trHeight w:val="65"/>
        </w:trPr>
        <w:tc>
          <w:tcPr>
            <w:tcW w:w="5940" w:type="dxa"/>
            <w:tcBorders>
              <w:top w:val="single" w:sz="6" w:space="0" w:color="auto"/>
              <w:left w:val="single" w:sz="6" w:space="0" w:color="auto"/>
              <w:bottom w:val="single" w:sz="6" w:space="0" w:color="auto"/>
              <w:right w:val="single" w:sz="6" w:space="0" w:color="auto"/>
            </w:tcBorders>
            <w:vAlign w:val="center"/>
          </w:tcPr>
          <w:p w:rsidR="00B5355D" w:rsidRPr="0006591E" w:rsidRDefault="00B5355D" w:rsidP="00905A5C">
            <w:pPr>
              <w:rPr>
                <w:sz w:val="20"/>
              </w:rPr>
            </w:pPr>
            <w:r w:rsidRPr="0006591E">
              <w:rPr>
                <w:sz w:val="20"/>
              </w:rPr>
              <w:t xml:space="preserve">Niżej leżące warstwy nasypu do głębokości od powierzchni robót ziemnych </w:t>
            </w:r>
            <w:smartTag w:uri="urn:schemas-microsoft-com:office:smarttags" w:element="metricconverter">
              <w:smartTagPr>
                <w:attr w:name="ProductID" w:val="2,0 m"/>
              </w:smartTagPr>
              <w:r w:rsidRPr="0006591E">
                <w:rPr>
                  <w:sz w:val="20"/>
                </w:rPr>
                <w:t>2,0 m</w:t>
              </w:r>
            </w:smartTag>
          </w:p>
        </w:tc>
        <w:tc>
          <w:tcPr>
            <w:tcW w:w="1620" w:type="dxa"/>
            <w:tcBorders>
              <w:top w:val="single" w:sz="6" w:space="0" w:color="auto"/>
              <w:left w:val="single" w:sz="6" w:space="0" w:color="auto"/>
              <w:bottom w:val="single" w:sz="6" w:space="0" w:color="auto"/>
              <w:right w:val="single" w:sz="6" w:space="0" w:color="auto"/>
            </w:tcBorders>
            <w:vAlign w:val="center"/>
          </w:tcPr>
          <w:p w:rsidR="00B5355D" w:rsidRPr="0006591E" w:rsidRDefault="00B5355D" w:rsidP="00905A5C">
            <w:pPr>
              <w:jc w:val="center"/>
              <w:rPr>
                <w:sz w:val="20"/>
              </w:rPr>
            </w:pPr>
            <w:r w:rsidRPr="0006591E">
              <w:rPr>
                <w:sz w:val="20"/>
              </w:rPr>
              <w:t>0,97</w:t>
            </w:r>
          </w:p>
        </w:tc>
        <w:tc>
          <w:tcPr>
            <w:tcW w:w="1800" w:type="dxa"/>
            <w:tcBorders>
              <w:top w:val="single" w:sz="6" w:space="0" w:color="auto"/>
              <w:left w:val="single" w:sz="6" w:space="0" w:color="auto"/>
              <w:bottom w:val="single" w:sz="6" w:space="0" w:color="auto"/>
              <w:right w:val="single" w:sz="6" w:space="0" w:color="auto"/>
            </w:tcBorders>
            <w:vAlign w:val="center"/>
          </w:tcPr>
          <w:p w:rsidR="00B5355D" w:rsidRPr="0006591E" w:rsidRDefault="00B5355D" w:rsidP="00905A5C">
            <w:pPr>
              <w:jc w:val="center"/>
              <w:rPr>
                <w:sz w:val="20"/>
              </w:rPr>
            </w:pPr>
            <w:r w:rsidRPr="0006591E">
              <w:rPr>
                <w:sz w:val="20"/>
              </w:rPr>
              <w:t>1,00</w:t>
            </w:r>
          </w:p>
        </w:tc>
      </w:tr>
    </w:tbl>
    <w:p w:rsidR="00B5355D" w:rsidRPr="0006591E" w:rsidRDefault="00B5355D" w:rsidP="00B5355D">
      <w:pPr>
        <w:jc w:val="both"/>
        <w:rPr>
          <w:strike/>
          <w:sz w:val="20"/>
        </w:rPr>
      </w:pPr>
    </w:p>
    <w:p w:rsidR="00B5355D" w:rsidRPr="0006591E" w:rsidRDefault="00B5355D" w:rsidP="00B5355D">
      <w:pPr>
        <w:jc w:val="both"/>
        <w:rPr>
          <w:sz w:val="20"/>
        </w:rPr>
      </w:pPr>
      <w:r w:rsidRPr="0006591E">
        <w:rPr>
          <w:sz w:val="20"/>
        </w:rP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Inspektor Nadzoru nie zezwoli na ponowienie próby prawidłowego zagęszczenia warstwy.</w:t>
      </w:r>
    </w:p>
    <w:p w:rsidR="00B5355D" w:rsidRPr="0006591E" w:rsidRDefault="00B5355D" w:rsidP="00B5355D">
      <w:pPr>
        <w:pStyle w:val="tekstost"/>
      </w:pPr>
      <w:r w:rsidRPr="0006591E">
        <w:t>5.3.4.5. Próbne zagęszczenie</w:t>
      </w:r>
    </w:p>
    <w:p w:rsidR="00B5355D" w:rsidRPr="0006591E" w:rsidRDefault="00B5355D" w:rsidP="00B5355D">
      <w:pPr>
        <w:jc w:val="both"/>
        <w:rPr>
          <w:sz w:val="20"/>
        </w:rPr>
      </w:pPr>
      <w:r w:rsidRPr="0006591E">
        <w:rPr>
          <w:sz w:val="20"/>
        </w:rPr>
        <w:t xml:space="preserve">Poletko doświadczalne dla próbnego zagęszczenia gruntu o minimalnej powierzchni </w:t>
      </w:r>
      <w:smartTag w:uri="urn:schemas-microsoft-com:office:smarttags" w:element="metricconverter">
        <w:smartTagPr>
          <w:attr w:name="ProductID" w:val="300 m2"/>
        </w:smartTagPr>
        <w:r w:rsidRPr="0006591E">
          <w:rPr>
            <w:sz w:val="20"/>
          </w:rPr>
          <w:t>300 m</w:t>
        </w:r>
        <w:r w:rsidRPr="0006591E">
          <w:rPr>
            <w:sz w:val="20"/>
            <w:vertAlign w:val="superscript"/>
          </w:rPr>
          <w:t>2</w:t>
        </w:r>
      </w:smartTag>
      <w:r w:rsidRPr="0006591E">
        <w:rPr>
          <w:sz w:val="20"/>
        </w:rPr>
        <w:t>, powinno być wykonane na terenie oczyszczonym z gleby, na którym układa się grunt czterema pasmami o szerokości od 3,5</w:t>
      </w:r>
      <w:r w:rsidRPr="0006591E">
        <w:rPr>
          <w:b/>
          <w:sz w:val="20"/>
        </w:rPr>
        <w:t xml:space="preserve"> </w:t>
      </w:r>
      <w:r w:rsidRPr="0006591E">
        <w:rPr>
          <w:sz w:val="20"/>
        </w:rPr>
        <w:t>do</w:t>
      </w:r>
      <w:r w:rsidRPr="0006591E">
        <w:rPr>
          <w:b/>
          <w:sz w:val="20"/>
        </w:rPr>
        <w:t xml:space="preserve"> </w:t>
      </w:r>
      <w:smartTag w:uri="urn:schemas-microsoft-com:office:smarttags" w:element="metricconverter">
        <w:smartTagPr>
          <w:attr w:name="ProductID" w:val="4,5 metra"/>
        </w:smartTagPr>
        <w:r w:rsidRPr="0006591E">
          <w:rPr>
            <w:sz w:val="20"/>
          </w:rPr>
          <w:t>4,5 metra</w:t>
        </w:r>
      </w:smartTag>
      <w:r w:rsidRPr="0006591E">
        <w:rPr>
          <w:sz w:val="20"/>
        </w:rPr>
        <w:t xml:space="preserve"> każde. Poszczególne warstwy układanego gruntu powinny mieć w każdym pasie inną grubość z tym, że wszystkie muszą mieścić się w granicach właściwych dla danego sprzętu zagęszczającego. Wilgotność gruntu powinna być równa optymalnej z tolerancją podaną w p. 5.3.4.3. Grunt ułożony na poletku według podanej wyżej zasady powinien być następnie zagęszczony, a po każdej serii przejść maszyny należy określić wskaźniki zagęszczenia, dopuszczając stosowanie aparatów izotopowych.</w:t>
      </w:r>
    </w:p>
    <w:p w:rsidR="00B5355D" w:rsidRPr="0006591E" w:rsidRDefault="00B5355D" w:rsidP="00B5355D">
      <w:pPr>
        <w:jc w:val="both"/>
        <w:rPr>
          <w:sz w:val="20"/>
        </w:rPr>
      </w:pPr>
      <w:r w:rsidRPr="0006591E">
        <w:rPr>
          <w:sz w:val="20"/>
        </w:rPr>
        <w:t>Oznaczenie wskaźnika zagęszczenia należy wykonać co najmniej w 4 punktach, z których co najmniej 2 powinny umożliwić ustalenie wskaźnika zagęszczenia w dolnej części warstwy. Na podstawie porównania uzyskanych wyników zagęszczenia z wymaganiami podanymi w p. 5.3.4.4 dokonuje się wyboru sprzętu i ustala się potrzebną liczbę przejść oraz grubość warstwy rozkładanego gruntu.</w:t>
      </w:r>
    </w:p>
    <w:p w:rsidR="00B5355D" w:rsidRPr="0006591E" w:rsidRDefault="00B5355D" w:rsidP="00B5355D">
      <w:pPr>
        <w:jc w:val="both"/>
        <w:rPr>
          <w:b/>
          <w:color w:val="FF0000"/>
          <w:sz w:val="20"/>
          <w:u w:val="single"/>
        </w:rPr>
      </w:pPr>
      <w:bookmarkStart w:id="11" w:name="_Toc406295865"/>
      <w:bookmarkStart w:id="12" w:name="_Toc407161285"/>
      <w:r w:rsidRPr="0006591E">
        <w:rPr>
          <w:b/>
          <w:sz w:val="20"/>
          <w:u w:val="single"/>
        </w:rPr>
        <w:t>5.4. Odkłady</w:t>
      </w:r>
      <w:bookmarkEnd w:id="11"/>
      <w:bookmarkEnd w:id="12"/>
    </w:p>
    <w:p w:rsidR="00B5355D" w:rsidRPr="0006591E" w:rsidRDefault="00B5355D" w:rsidP="00B5355D">
      <w:pPr>
        <w:jc w:val="both"/>
        <w:rPr>
          <w:sz w:val="20"/>
        </w:rPr>
      </w:pPr>
      <w:r w:rsidRPr="0006591E">
        <w:rPr>
          <w:sz w:val="20"/>
        </w:rPr>
        <w:t>5.4.1. Warunki ogólne wykonania odkładów</w:t>
      </w:r>
    </w:p>
    <w:p w:rsidR="00B5355D" w:rsidRPr="0006591E" w:rsidRDefault="00B5355D" w:rsidP="00B5355D">
      <w:pPr>
        <w:jc w:val="both"/>
        <w:rPr>
          <w:sz w:val="20"/>
        </w:rPr>
      </w:pPr>
      <w:r w:rsidRPr="0006591E">
        <w:rPr>
          <w:sz w:val="20"/>
        </w:rPr>
        <w:t>Grunty lub inne materiały powinny być przewiezione na odkład, jeżeli:</w:t>
      </w:r>
    </w:p>
    <w:p w:rsidR="00B5355D" w:rsidRPr="0006591E" w:rsidRDefault="00B5355D" w:rsidP="00B5355D">
      <w:pPr>
        <w:jc w:val="both"/>
        <w:rPr>
          <w:sz w:val="20"/>
        </w:rPr>
      </w:pPr>
      <w:r w:rsidRPr="0006591E">
        <w:rPr>
          <w:sz w:val="20"/>
        </w:rPr>
        <w:t>a)     stanowią nadmiar objętości w stosunku do objętości gruntów przewidzianych do wbudowania,</w:t>
      </w:r>
    </w:p>
    <w:p w:rsidR="00B5355D" w:rsidRPr="0006591E" w:rsidRDefault="00B5355D" w:rsidP="00B5355D">
      <w:pPr>
        <w:jc w:val="both"/>
        <w:rPr>
          <w:sz w:val="20"/>
        </w:rPr>
      </w:pPr>
      <w:r w:rsidRPr="0006591E">
        <w:rPr>
          <w:sz w:val="20"/>
        </w:rPr>
        <w:t>b)    są nieprzydatne do budowy nasypów oraz wykorzystania w innych pracach, związanych z budową trasy drogowej,</w:t>
      </w:r>
    </w:p>
    <w:p w:rsidR="00B5355D" w:rsidRPr="0006591E" w:rsidRDefault="00B5355D" w:rsidP="00B5355D">
      <w:pPr>
        <w:jc w:val="both"/>
        <w:rPr>
          <w:sz w:val="20"/>
        </w:rPr>
      </w:pPr>
      <w:r w:rsidRPr="0006591E">
        <w:rPr>
          <w:sz w:val="20"/>
        </w:rPr>
        <w:t>c)     ze względu na harmonogram robót nie jest ekonomicznie uzasadnione oczekiwanie na wbudowanie materiałów pozyskiwanych z wykopu.</w:t>
      </w:r>
    </w:p>
    <w:p w:rsidR="00B5355D" w:rsidRPr="0006591E" w:rsidRDefault="00B5355D" w:rsidP="00B5355D">
      <w:pPr>
        <w:jc w:val="both"/>
        <w:rPr>
          <w:sz w:val="20"/>
        </w:rPr>
      </w:pPr>
      <w:r w:rsidRPr="0006591E">
        <w:rPr>
          <w:sz w:val="20"/>
        </w:rPr>
        <w:t>5.4.2. Lokalizacja odkładu</w:t>
      </w:r>
    </w:p>
    <w:p w:rsidR="00B5355D" w:rsidRPr="0006591E" w:rsidRDefault="00B5355D" w:rsidP="00B5355D">
      <w:pPr>
        <w:jc w:val="both"/>
        <w:rPr>
          <w:sz w:val="20"/>
        </w:rPr>
      </w:pPr>
      <w:r w:rsidRPr="0006591E">
        <w:rPr>
          <w:sz w:val="20"/>
        </w:rPr>
        <w:t>Jeżeli miejsce odkładu zostało wybrane przez Wykonawcę, musi być ono zaakceptowane przez Inspektora Nadzoru. Niezależnie od tego, Wykonawca musi uzyskać zgodę właściciela terenu.</w:t>
      </w:r>
    </w:p>
    <w:p w:rsidR="00B5355D" w:rsidRPr="0006591E" w:rsidRDefault="00B5355D" w:rsidP="00B5355D">
      <w:pPr>
        <w:jc w:val="both"/>
        <w:rPr>
          <w:sz w:val="20"/>
        </w:rPr>
      </w:pPr>
      <w:r w:rsidRPr="0006591E">
        <w:rPr>
          <w:sz w:val="20"/>
        </w:rPr>
        <w:t>Jeżeli odkłady są zlokalizowane wzdłuż odcinka trasy przebiegającego w wykopie, to:</w:t>
      </w:r>
    </w:p>
    <w:p w:rsidR="00B5355D" w:rsidRPr="0006591E" w:rsidRDefault="00B5355D" w:rsidP="00B5355D">
      <w:pPr>
        <w:jc w:val="both"/>
        <w:rPr>
          <w:sz w:val="20"/>
        </w:rPr>
      </w:pPr>
      <w:r w:rsidRPr="0006591E">
        <w:rPr>
          <w:sz w:val="20"/>
        </w:rPr>
        <w:t>a)     odkłady można wykonać z obu stron wykopu, jeżeli pochylenie poprzeczne terenu jest niewielkie, przy czym odległość podnóża skarpy odkładu od górnej krawędzi wykopu powinna wynosić:</w:t>
      </w:r>
    </w:p>
    <w:p w:rsidR="00B5355D" w:rsidRPr="0006591E" w:rsidRDefault="00B5355D" w:rsidP="00B5355D">
      <w:pPr>
        <w:jc w:val="both"/>
        <w:rPr>
          <w:sz w:val="20"/>
        </w:rPr>
      </w:pPr>
      <w:r w:rsidRPr="0006591E">
        <w:rPr>
          <w:sz w:val="20"/>
        </w:rPr>
        <w:t xml:space="preserve">-      nie mniej niż </w:t>
      </w:r>
      <w:smartTag w:uri="urn:schemas-microsoft-com:office:smarttags" w:element="metricconverter">
        <w:smartTagPr>
          <w:attr w:name="ProductID" w:val="3 m"/>
        </w:smartTagPr>
        <w:r w:rsidRPr="0006591E">
          <w:rPr>
            <w:sz w:val="20"/>
          </w:rPr>
          <w:t>3 m</w:t>
        </w:r>
      </w:smartTag>
      <w:r w:rsidRPr="0006591E">
        <w:rPr>
          <w:sz w:val="20"/>
        </w:rPr>
        <w:t xml:space="preserve"> w gruntach przepuszczalnych,</w:t>
      </w:r>
    </w:p>
    <w:p w:rsidR="00B5355D" w:rsidRPr="0006591E" w:rsidRDefault="00B5355D" w:rsidP="00B5355D">
      <w:pPr>
        <w:jc w:val="both"/>
        <w:rPr>
          <w:sz w:val="20"/>
        </w:rPr>
      </w:pPr>
      <w:r w:rsidRPr="0006591E">
        <w:rPr>
          <w:sz w:val="20"/>
        </w:rPr>
        <w:t xml:space="preserve">-      nie mniej niż </w:t>
      </w:r>
      <w:smartTag w:uri="urn:schemas-microsoft-com:office:smarttags" w:element="metricconverter">
        <w:smartTagPr>
          <w:attr w:name="ProductID" w:val="5 m"/>
        </w:smartTagPr>
        <w:r w:rsidRPr="0006591E">
          <w:rPr>
            <w:sz w:val="20"/>
          </w:rPr>
          <w:t>5 m</w:t>
        </w:r>
      </w:smartTag>
      <w:r w:rsidRPr="0006591E">
        <w:rPr>
          <w:sz w:val="20"/>
        </w:rPr>
        <w:t xml:space="preserve"> w gruntach nieprzepuszczalnych,</w:t>
      </w:r>
    </w:p>
    <w:p w:rsidR="00B5355D" w:rsidRPr="0006591E" w:rsidRDefault="00B5355D" w:rsidP="00B5355D">
      <w:pPr>
        <w:jc w:val="both"/>
        <w:rPr>
          <w:sz w:val="20"/>
        </w:rPr>
      </w:pPr>
      <w:r w:rsidRPr="0006591E">
        <w:rPr>
          <w:sz w:val="20"/>
        </w:rPr>
        <w:t>b)    przy znacznym pochyleniu poprzecznym terenu, jednak mniejszym od 20%, odkład należy wykonać tylko od górnej strony wykopu, dla ochrony od wody stokowej,</w:t>
      </w:r>
    </w:p>
    <w:p w:rsidR="00B5355D" w:rsidRPr="0006591E" w:rsidRDefault="00B5355D" w:rsidP="00B5355D">
      <w:pPr>
        <w:jc w:val="both"/>
        <w:rPr>
          <w:sz w:val="20"/>
        </w:rPr>
      </w:pPr>
      <w:r w:rsidRPr="0006591E">
        <w:rPr>
          <w:sz w:val="20"/>
        </w:rPr>
        <w:t>c)     przy pochyleniu poprzecznym terenu wynoszącym ponad 20%, odkład należy zlokalizować poniżej wykopu,</w:t>
      </w:r>
    </w:p>
    <w:p w:rsidR="00B5355D" w:rsidRPr="0006591E" w:rsidRDefault="00B5355D" w:rsidP="00B5355D">
      <w:pPr>
        <w:overflowPunct w:val="0"/>
        <w:autoSpaceDE w:val="0"/>
        <w:autoSpaceDN w:val="0"/>
        <w:adjustRightInd w:val="0"/>
        <w:jc w:val="both"/>
        <w:rPr>
          <w:sz w:val="20"/>
          <w:szCs w:val="20"/>
        </w:rPr>
      </w:pPr>
      <w:r w:rsidRPr="0006591E">
        <w:rPr>
          <w:sz w:val="20"/>
          <w:szCs w:val="20"/>
        </w:rPr>
        <w:lastRenderedPageBreak/>
        <w:t xml:space="preserve">d)    na odcinkach zagrożonych przez zasypywanie drogi śniegiem, odkład należy wykonać od strony najczęściej wiejących wiatrów, w odległości ponad </w:t>
      </w:r>
      <w:smartTag w:uri="urn:schemas-microsoft-com:office:smarttags" w:element="metricconverter">
        <w:smartTagPr>
          <w:attr w:name="ProductID" w:val="20 m"/>
        </w:smartTagPr>
        <w:r w:rsidRPr="0006591E">
          <w:rPr>
            <w:sz w:val="20"/>
            <w:szCs w:val="20"/>
          </w:rPr>
          <w:t>20 m</w:t>
        </w:r>
      </w:smartTag>
      <w:r w:rsidRPr="0006591E">
        <w:rPr>
          <w:sz w:val="20"/>
          <w:szCs w:val="20"/>
        </w:rPr>
        <w:t xml:space="preserve"> od krawędzi wykopu.</w:t>
      </w:r>
    </w:p>
    <w:p w:rsidR="00B5355D" w:rsidRPr="0006591E" w:rsidRDefault="00B5355D" w:rsidP="00B5355D">
      <w:pPr>
        <w:tabs>
          <w:tab w:val="left" w:pos="0"/>
        </w:tabs>
        <w:jc w:val="both"/>
        <w:rPr>
          <w:sz w:val="20"/>
          <w:szCs w:val="20"/>
        </w:rPr>
      </w:pPr>
      <w:r w:rsidRPr="0006591E">
        <w:rPr>
          <w:sz w:val="20"/>
          <w:szCs w:val="20"/>
        </w:rPr>
        <w:t xml:space="preserve">Jeśli odkład zostanie wykonany w nie uzgodnionym miejscu lub niezgodnie z wymaganiami, to zostanie on usunięty przez Wykonawcę na jego koszt, według wskazań </w:t>
      </w:r>
      <w:r w:rsidRPr="0006591E">
        <w:rPr>
          <w:sz w:val="20"/>
        </w:rPr>
        <w:t>Inspektora Nadzoru</w:t>
      </w:r>
      <w:r w:rsidRPr="0006591E">
        <w:rPr>
          <w:sz w:val="20"/>
          <w:szCs w:val="20"/>
        </w:rPr>
        <w:t>.</w:t>
      </w:r>
    </w:p>
    <w:p w:rsidR="00B5355D" w:rsidRPr="0006591E" w:rsidRDefault="00B5355D" w:rsidP="00B5355D">
      <w:pPr>
        <w:jc w:val="both"/>
        <w:rPr>
          <w:sz w:val="20"/>
          <w:szCs w:val="20"/>
        </w:rPr>
      </w:pPr>
      <w:r w:rsidRPr="0006591E">
        <w:rPr>
          <w:sz w:val="20"/>
          <w:szCs w:val="20"/>
        </w:rPr>
        <w:t>Konsekwencje finansowe i prawne, wynikające z ewentualnych uszkodzeń środowiska naturalnego wskutek prowadzenia prac w nie uzgodnionym do tego miejscu, obciążają Wykonawcę.</w:t>
      </w:r>
    </w:p>
    <w:p w:rsidR="00B5355D" w:rsidRPr="0006591E" w:rsidRDefault="00B5355D" w:rsidP="00B5355D">
      <w:pPr>
        <w:jc w:val="both"/>
        <w:rPr>
          <w:sz w:val="20"/>
          <w:szCs w:val="20"/>
        </w:rPr>
      </w:pPr>
      <w:r w:rsidRPr="0006591E">
        <w:rPr>
          <w:b/>
          <w:sz w:val="20"/>
          <w:szCs w:val="20"/>
        </w:rPr>
        <w:t xml:space="preserve">5.4.3. </w:t>
      </w:r>
      <w:r w:rsidRPr="0006591E">
        <w:rPr>
          <w:sz w:val="20"/>
          <w:szCs w:val="20"/>
        </w:rPr>
        <w:t>Zasady wykonania odkładów</w:t>
      </w:r>
    </w:p>
    <w:p w:rsidR="00B5355D" w:rsidRPr="0006591E" w:rsidRDefault="00B5355D" w:rsidP="00B5355D">
      <w:pPr>
        <w:jc w:val="both"/>
        <w:rPr>
          <w:sz w:val="20"/>
          <w:szCs w:val="20"/>
        </w:rPr>
      </w:pPr>
      <w:r w:rsidRPr="0006591E">
        <w:rPr>
          <w:sz w:val="20"/>
          <w:szCs w:val="20"/>
        </w:rPr>
        <w:t xml:space="preserve">Wykonanie odkładów, a w szczególności ich wysokość, pochylenie, zagęszczenie oraz odwodnienie powinny być zgodne z wymaganiami podanymi w dokumentacji projektowej lub STWIORB. Jeżeli nie określono inaczej, odkład powinien być uformowany w pryzmę o wysokości do </w:t>
      </w:r>
      <w:smartTag w:uri="urn:schemas-microsoft-com:office:smarttags" w:element="metricconverter">
        <w:smartTagPr>
          <w:attr w:name="ProductID" w:val="2,5 m"/>
        </w:smartTagPr>
        <w:r w:rsidRPr="0006591E">
          <w:rPr>
            <w:sz w:val="20"/>
            <w:szCs w:val="20"/>
          </w:rPr>
          <w:t>2,5 m</w:t>
        </w:r>
      </w:smartTag>
      <w:r w:rsidRPr="0006591E">
        <w:rPr>
          <w:sz w:val="20"/>
          <w:szCs w:val="20"/>
        </w:rPr>
        <w:t>, pochyleniu skarp od 1 do 1,5 i spadku korony od 3% do 5%.</w:t>
      </w:r>
    </w:p>
    <w:p w:rsidR="00B5355D" w:rsidRPr="0006591E" w:rsidRDefault="00B5355D" w:rsidP="00B5355D">
      <w:pPr>
        <w:jc w:val="both"/>
        <w:rPr>
          <w:sz w:val="20"/>
          <w:szCs w:val="20"/>
        </w:rPr>
      </w:pPr>
      <w:r w:rsidRPr="0006591E">
        <w:rPr>
          <w:sz w:val="20"/>
          <w:szCs w:val="20"/>
        </w:rPr>
        <w:t>Odkłady powinny być tak ukształtowane, aby harmonizowały z otaczającym terenem. Powierzchnie odkładów powinny być obsiane trawą, obsadzone krzewami lub drzewami albo przeznaczone na użytki rolne lub leśne, zgodnie z dokumentacją projektową.</w:t>
      </w:r>
    </w:p>
    <w:p w:rsidR="00B5355D" w:rsidRPr="0006591E" w:rsidRDefault="00B5355D" w:rsidP="00B5355D">
      <w:pPr>
        <w:jc w:val="both"/>
        <w:rPr>
          <w:sz w:val="20"/>
          <w:szCs w:val="20"/>
        </w:rPr>
      </w:pPr>
      <w:r w:rsidRPr="0006591E">
        <w:rPr>
          <w:sz w:val="20"/>
          <w:szCs w:val="20"/>
        </w:rPr>
        <w:t xml:space="preserve">Odspajanie materiału przewidzianego do przewiezienia na odkład powinno być przerwane, o ile warunki atmosferyczne lub inne przyczyny uniemożliwiają jego wbudowanie zgodnie z wymaganiami sformułowanymi w tym zakresie w dokumentacji projektowej, STWIORB lub przez </w:t>
      </w:r>
      <w:r w:rsidRPr="0006591E">
        <w:rPr>
          <w:sz w:val="20"/>
        </w:rPr>
        <w:t>Inspektora Nadzoru</w:t>
      </w:r>
      <w:r w:rsidRPr="0006591E">
        <w:rPr>
          <w:sz w:val="20"/>
          <w:szCs w:val="20"/>
        </w:rPr>
        <w:t>.</w:t>
      </w:r>
    </w:p>
    <w:p w:rsidR="00B5355D" w:rsidRPr="0006591E" w:rsidRDefault="00B5355D" w:rsidP="00B5355D">
      <w:pPr>
        <w:jc w:val="both"/>
        <w:rPr>
          <w:sz w:val="20"/>
          <w:szCs w:val="20"/>
        </w:rPr>
      </w:pPr>
      <w:r w:rsidRPr="0006591E">
        <w:rPr>
          <w:sz w:val="20"/>
          <w:szCs w:val="20"/>
        </w:rPr>
        <w:t>Przed przewiezieniem gruntu na odkład Wykonawca powinien upewnić się, że spełnione są warunki określone w pkcie 5.5.1. Jeżeli wskutek pochopnego przewiezienia gruntu na odkład przez Wykonawcę, zajdzie konieczność dowiezienia gruntu do wykonania nasypów z ukopu, to koszt tych czynności w całości obciąża Wykonawcę.</w:t>
      </w:r>
    </w:p>
    <w:p w:rsidR="00B5355D" w:rsidRPr="0006591E" w:rsidRDefault="00B5355D" w:rsidP="00B5355D">
      <w:pPr>
        <w:spacing w:before="240"/>
        <w:jc w:val="both"/>
        <w:rPr>
          <w:b/>
          <w:sz w:val="20"/>
        </w:rPr>
      </w:pPr>
      <w:r w:rsidRPr="0006591E">
        <w:rPr>
          <w:b/>
          <w:sz w:val="20"/>
        </w:rPr>
        <w:t>6. KONTROLA JAKOŚCI ROBÓT</w:t>
      </w:r>
    </w:p>
    <w:p w:rsidR="00B5355D" w:rsidRPr="0006591E" w:rsidRDefault="00B5355D" w:rsidP="00B5355D">
      <w:pPr>
        <w:pStyle w:val="StandardowytekstZnak"/>
        <w:rPr>
          <w:b/>
          <w:u w:val="single"/>
        </w:rPr>
      </w:pPr>
      <w:bookmarkStart w:id="13" w:name="_Toc406295867"/>
      <w:bookmarkStart w:id="14" w:name="_Toc407161287"/>
      <w:r w:rsidRPr="0006591E">
        <w:rPr>
          <w:b/>
          <w:u w:val="single"/>
        </w:rPr>
        <w:t>6.1. Ogólne zasady kontroli jakości robót</w:t>
      </w:r>
    </w:p>
    <w:p w:rsidR="00B5355D" w:rsidRPr="0006591E" w:rsidRDefault="00B5355D" w:rsidP="00B5355D">
      <w:pPr>
        <w:pStyle w:val="StandardowytekstZnak"/>
      </w:pPr>
      <w:r w:rsidRPr="0006591E">
        <w:t>Ogólne zasady kontroli jakości robót podano w STWIORB D-02.00.01 pkt 6.</w:t>
      </w:r>
    </w:p>
    <w:p w:rsidR="00B5355D" w:rsidRPr="0006591E" w:rsidRDefault="00B5355D" w:rsidP="00B5355D">
      <w:pPr>
        <w:pStyle w:val="StandardowytekstZnak"/>
        <w:rPr>
          <w:b/>
          <w:u w:val="single"/>
        </w:rPr>
      </w:pPr>
      <w:bookmarkStart w:id="15" w:name="_Toc406295868"/>
      <w:bookmarkStart w:id="16" w:name="_Toc407161288"/>
      <w:r w:rsidRPr="0006591E">
        <w:rPr>
          <w:b/>
          <w:u w:val="single"/>
        </w:rPr>
        <w:t xml:space="preserve">6.2. Sprawdzenie wykonania </w:t>
      </w:r>
      <w:proofErr w:type="spellStart"/>
      <w:r w:rsidRPr="0006591E">
        <w:rPr>
          <w:b/>
          <w:u w:val="single"/>
        </w:rPr>
        <w:t>dokopu</w:t>
      </w:r>
      <w:bookmarkEnd w:id="15"/>
      <w:bookmarkEnd w:id="16"/>
      <w:proofErr w:type="spellEnd"/>
    </w:p>
    <w:p w:rsidR="00B5355D" w:rsidRPr="0006591E" w:rsidRDefault="00B5355D" w:rsidP="00B5355D">
      <w:pPr>
        <w:pStyle w:val="StandardowytekstZnak"/>
      </w:pPr>
      <w:r w:rsidRPr="0006591E">
        <w:t xml:space="preserve">Sprawdzenie wykonania </w:t>
      </w:r>
      <w:proofErr w:type="spellStart"/>
      <w:r w:rsidRPr="0006591E">
        <w:t>dokopu</w:t>
      </w:r>
      <w:proofErr w:type="spellEnd"/>
      <w:r w:rsidRPr="0006591E">
        <w:t xml:space="preserve"> polega na kontrolowaniu zgodności z wymaganiami określonymi w pkcie 5.2 niniejszej specyfikacji oraz w dokumentacji projektowej i STWIORB. W czasie kontroli należy zwrócić szczególną uwagę na sprawdzenie:</w:t>
      </w:r>
    </w:p>
    <w:p w:rsidR="00B5355D" w:rsidRPr="0006591E" w:rsidRDefault="00B5355D" w:rsidP="00B5355D">
      <w:pPr>
        <w:pStyle w:val="StandardowytekstZnak"/>
        <w:numPr>
          <w:ilvl w:val="0"/>
          <w:numId w:val="3"/>
        </w:numPr>
      </w:pPr>
      <w:r w:rsidRPr="0006591E">
        <w:t>zgodności rodzaju gruntu z określonym w dokumentacji projektowej i STWIORB,</w:t>
      </w:r>
    </w:p>
    <w:p w:rsidR="00B5355D" w:rsidRPr="0006591E" w:rsidRDefault="00B5355D" w:rsidP="00B5355D">
      <w:pPr>
        <w:pStyle w:val="StandardowytekstZnak"/>
        <w:numPr>
          <w:ilvl w:val="0"/>
          <w:numId w:val="3"/>
        </w:numPr>
      </w:pPr>
      <w:r w:rsidRPr="0006591E">
        <w:t>zachowania kształtu zboczy, zapewniającego ich stateczność,</w:t>
      </w:r>
    </w:p>
    <w:p w:rsidR="00B5355D" w:rsidRPr="0006591E" w:rsidRDefault="00B5355D" w:rsidP="00B5355D">
      <w:pPr>
        <w:pStyle w:val="StandardowytekstZnak"/>
        <w:numPr>
          <w:ilvl w:val="0"/>
          <w:numId w:val="3"/>
        </w:numPr>
      </w:pPr>
      <w:r w:rsidRPr="0006591E">
        <w:t>odwodnienia.</w:t>
      </w:r>
    </w:p>
    <w:p w:rsidR="00B5355D" w:rsidRPr="0006591E" w:rsidRDefault="00B5355D" w:rsidP="00B5355D">
      <w:pPr>
        <w:pStyle w:val="StandardowytekstZnak"/>
        <w:rPr>
          <w:b/>
          <w:u w:val="single"/>
        </w:rPr>
      </w:pPr>
      <w:r w:rsidRPr="0006591E">
        <w:rPr>
          <w:b/>
          <w:u w:val="single"/>
        </w:rPr>
        <w:t>6.3. Sprawdzenie jakości wykonania nasypów</w:t>
      </w:r>
    </w:p>
    <w:p w:rsidR="00B5355D" w:rsidRPr="0006591E" w:rsidRDefault="00B5355D" w:rsidP="00B5355D">
      <w:pPr>
        <w:pStyle w:val="StandardowytekstZnak"/>
      </w:pPr>
      <w:r w:rsidRPr="0006591E">
        <w:rPr>
          <w:b/>
        </w:rPr>
        <w:t>6.3.1.</w:t>
      </w:r>
      <w:r w:rsidRPr="0006591E">
        <w:t xml:space="preserve"> </w:t>
      </w:r>
      <w:r w:rsidRPr="0006591E">
        <w:rPr>
          <w:b/>
        </w:rPr>
        <w:t>Rodzaje badań i pomiarów</w:t>
      </w:r>
    </w:p>
    <w:p w:rsidR="00B5355D" w:rsidRPr="0006591E" w:rsidRDefault="00B5355D" w:rsidP="00B5355D">
      <w:pPr>
        <w:pStyle w:val="StandardowytekstZnak"/>
      </w:pPr>
      <w:r w:rsidRPr="0006591E">
        <w:t xml:space="preserve">Sprawdzenie jakości wykonania nasypów polega na kontrolowaniu zgodności z wymaganiami określonymi w </w:t>
      </w:r>
      <w:proofErr w:type="spellStart"/>
      <w:r w:rsidRPr="0006591E">
        <w:t>pktach</w:t>
      </w:r>
      <w:proofErr w:type="spellEnd"/>
      <w:r w:rsidRPr="0006591E">
        <w:t xml:space="preserve"> 2,2 oraz 5.3 niniejszej specyfikacji, w dokumentacji projektowej i STWIORB.</w:t>
      </w:r>
    </w:p>
    <w:p w:rsidR="00B5355D" w:rsidRPr="0006591E" w:rsidRDefault="00B5355D" w:rsidP="00B5355D">
      <w:pPr>
        <w:pStyle w:val="StandardowytekstZnak"/>
      </w:pPr>
      <w:r w:rsidRPr="0006591E">
        <w:t>Szczególną uwagę należy zwrócić na:</w:t>
      </w:r>
    </w:p>
    <w:p w:rsidR="00B5355D" w:rsidRPr="0006591E" w:rsidRDefault="00B5355D" w:rsidP="00B5355D">
      <w:pPr>
        <w:pStyle w:val="StandardowytekstZnak"/>
        <w:numPr>
          <w:ilvl w:val="0"/>
          <w:numId w:val="4"/>
        </w:numPr>
      </w:pPr>
      <w:r w:rsidRPr="0006591E">
        <w:t>badania przydatności gruntów do budowy nasypów,</w:t>
      </w:r>
    </w:p>
    <w:p w:rsidR="00B5355D" w:rsidRPr="0006591E" w:rsidRDefault="00B5355D" w:rsidP="00B5355D">
      <w:pPr>
        <w:pStyle w:val="StandardowytekstZnak"/>
        <w:numPr>
          <w:ilvl w:val="0"/>
          <w:numId w:val="4"/>
        </w:numPr>
      </w:pPr>
      <w:r w:rsidRPr="0006591E">
        <w:t>badania prawidłowości wykonania poszczególnych warstw nasypu,</w:t>
      </w:r>
    </w:p>
    <w:p w:rsidR="00B5355D" w:rsidRPr="0006591E" w:rsidRDefault="00B5355D" w:rsidP="00B5355D">
      <w:pPr>
        <w:pStyle w:val="StandardowytekstZnak"/>
        <w:numPr>
          <w:ilvl w:val="0"/>
          <w:numId w:val="4"/>
        </w:numPr>
      </w:pPr>
      <w:r w:rsidRPr="0006591E">
        <w:t>badania zagęszczenia nasypu,</w:t>
      </w:r>
    </w:p>
    <w:p w:rsidR="00B5355D" w:rsidRPr="0006591E" w:rsidRDefault="00B5355D" w:rsidP="00B5355D">
      <w:pPr>
        <w:pStyle w:val="StandardowytekstZnak"/>
        <w:numPr>
          <w:ilvl w:val="0"/>
          <w:numId w:val="4"/>
        </w:numPr>
      </w:pPr>
      <w:r w:rsidRPr="0006591E">
        <w:t>pomiary kształtu nasypu.</w:t>
      </w:r>
    </w:p>
    <w:p w:rsidR="00B5355D" w:rsidRPr="0006591E" w:rsidRDefault="00B5355D" w:rsidP="00B5355D">
      <w:pPr>
        <w:pStyle w:val="StandardowytekstZnak"/>
        <w:numPr>
          <w:ilvl w:val="0"/>
          <w:numId w:val="4"/>
        </w:numPr>
      </w:pPr>
      <w:r w:rsidRPr="0006591E">
        <w:t>odwodnienie nasypu</w:t>
      </w:r>
    </w:p>
    <w:p w:rsidR="00B5355D" w:rsidRPr="0006591E" w:rsidRDefault="00B5355D" w:rsidP="00B5355D">
      <w:pPr>
        <w:pStyle w:val="StandardowytekstZnak"/>
      </w:pPr>
      <w:r w:rsidRPr="0006591E">
        <w:rPr>
          <w:b/>
        </w:rPr>
        <w:t>6.3.2.</w:t>
      </w:r>
      <w:r w:rsidRPr="0006591E">
        <w:t xml:space="preserve"> </w:t>
      </w:r>
      <w:r w:rsidRPr="0006591E">
        <w:rPr>
          <w:b/>
        </w:rPr>
        <w:t>Badania przydatności gruntów do budowy nasypów</w:t>
      </w:r>
    </w:p>
    <w:p w:rsidR="00B5355D" w:rsidRPr="0006591E" w:rsidRDefault="00B5355D" w:rsidP="00B5355D">
      <w:pPr>
        <w:pStyle w:val="StandardowytekstZnak"/>
      </w:pPr>
      <w:r w:rsidRPr="0006591E">
        <w:t xml:space="preserve">Badania przydatności gruntów do budowy nasypu powinny być przeprowadzone na próbkach pobranych z każdej partii przeznaczonej do wbudowania w korpus ziemny, pochodzącej z nowego źródła, jednak nie rzadziej niż jeden raz na </w:t>
      </w:r>
      <w:smartTag w:uri="urn:schemas-microsoft-com:office:smarttags" w:element="metricconverter">
        <w:smartTagPr>
          <w:attr w:name="ProductID" w:val="3000 m3"/>
        </w:smartTagPr>
        <w:r w:rsidRPr="0006591E">
          <w:t>3000 m</w:t>
        </w:r>
        <w:r w:rsidRPr="0006591E">
          <w:rPr>
            <w:vertAlign w:val="superscript"/>
          </w:rPr>
          <w:t>3</w:t>
        </w:r>
      </w:smartTag>
      <w:r w:rsidRPr="0006591E">
        <w:t>. W każdym badaniu należy określić następujące właściwości:</w:t>
      </w:r>
    </w:p>
    <w:p w:rsidR="00B5355D" w:rsidRPr="0006591E" w:rsidRDefault="00B5355D" w:rsidP="00B5355D">
      <w:pPr>
        <w:pStyle w:val="Tekstpodstawowy2"/>
        <w:numPr>
          <w:ilvl w:val="0"/>
          <w:numId w:val="10"/>
        </w:numPr>
        <w:tabs>
          <w:tab w:val="clear" w:pos="3240"/>
          <w:tab w:val="num" w:pos="360"/>
        </w:tabs>
        <w:spacing w:line="240" w:lineRule="auto"/>
        <w:ind w:left="3238" w:hanging="3238"/>
        <w:jc w:val="both"/>
        <w:rPr>
          <w:rFonts w:ascii="Times New Roman" w:hAnsi="Times New Roman"/>
          <w:sz w:val="20"/>
          <w:lang w:val="pl-PL"/>
        </w:rPr>
      </w:pPr>
      <w:r w:rsidRPr="0006591E">
        <w:rPr>
          <w:rFonts w:ascii="Times New Roman" w:hAnsi="Times New Roman"/>
          <w:sz w:val="20"/>
          <w:lang w:val="pl-PL"/>
        </w:rPr>
        <w:t xml:space="preserve">zawartość pyłów poniżej </w:t>
      </w:r>
      <w:smartTag w:uri="urn:schemas-microsoft-com:office:smarttags" w:element="metricconverter">
        <w:smartTagPr>
          <w:attr w:name="ProductID" w:val="0,063 mm"/>
        </w:smartTagPr>
        <w:r w:rsidRPr="0006591E">
          <w:rPr>
            <w:rFonts w:ascii="Times New Roman" w:hAnsi="Times New Roman"/>
            <w:sz w:val="20"/>
            <w:lang w:val="pl-PL"/>
          </w:rPr>
          <w:t>0,063 mm</w:t>
        </w:r>
      </w:smartTag>
      <w:r w:rsidRPr="0006591E">
        <w:rPr>
          <w:rFonts w:ascii="Times New Roman" w:hAnsi="Times New Roman"/>
          <w:sz w:val="20"/>
          <w:lang w:val="pl-PL"/>
        </w:rPr>
        <w:t>,</w:t>
      </w:r>
    </w:p>
    <w:p w:rsidR="00B5355D" w:rsidRPr="0006591E" w:rsidRDefault="00B5355D" w:rsidP="00B5355D">
      <w:pPr>
        <w:pStyle w:val="Tekstpodstawowy2"/>
        <w:numPr>
          <w:ilvl w:val="0"/>
          <w:numId w:val="10"/>
        </w:numPr>
        <w:tabs>
          <w:tab w:val="clear" w:pos="3240"/>
          <w:tab w:val="num" w:pos="360"/>
        </w:tabs>
        <w:spacing w:line="240" w:lineRule="auto"/>
        <w:ind w:left="3238" w:hanging="3238"/>
        <w:jc w:val="both"/>
        <w:rPr>
          <w:rFonts w:ascii="Times New Roman" w:hAnsi="Times New Roman"/>
          <w:sz w:val="20"/>
          <w:lang w:val="pl-PL"/>
        </w:rPr>
      </w:pPr>
      <w:r w:rsidRPr="0006591E">
        <w:rPr>
          <w:rFonts w:ascii="Times New Roman" w:hAnsi="Times New Roman"/>
          <w:sz w:val="20"/>
          <w:lang w:val="pl-PL"/>
        </w:rPr>
        <w:t>wskaźnik filtracji,</w:t>
      </w:r>
    </w:p>
    <w:p w:rsidR="00B5355D" w:rsidRPr="0006591E" w:rsidRDefault="00B5355D" w:rsidP="00B5355D">
      <w:pPr>
        <w:pStyle w:val="Tekstpodstawowy2"/>
        <w:numPr>
          <w:ilvl w:val="0"/>
          <w:numId w:val="10"/>
        </w:numPr>
        <w:tabs>
          <w:tab w:val="clear" w:pos="3240"/>
          <w:tab w:val="num" w:pos="360"/>
        </w:tabs>
        <w:spacing w:line="240" w:lineRule="auto"/>
        <w:ind w:left="3238" w:hanging="3238"/>
        <w:jc w:val="both"/>
        <w:rPr>
          <w:rFonts w:ascii="Times New Roman" w:hAnsi="Times New Roman"/>
          <w:sz w:val="20"/>
          <w:lang w:val="pl-PL"/>
        </w:rPr>
      </w:pPr>
      <w:r w:rsidRPr="0006591E">
        <w:rPr>
          <w:rFonts w:ascii="Times New Roman" w:hAnsi="Times New Roman"/>
          <w:sz w:val="20"/>
          <w:lang w:val="pl-PL"/>
        </w:rPr>
        <w:t>wskaźnik róznoziarnistości.</w:t>
      </w:r>
    </w:p>
    <w:p w:rsidR="00B5355D" w:rsidRPr="0006591E" w:rsidRDefault="00B5355D" w:rsidP="00B5355D">
      <w:pPr>
        <w:pStyle w:val="StandardowytekstZnak"/>
      </w:pPr>
      <w:r w:rsidRPr="0006591E">
        <w:rPr>
          <w:b/>
        </w:rPr>
        <w:t>6.3.3. Badania kontrolne prawidłowości wykonania poszczególnych warstw nasypu</w:t>
      </w:r>
    </w:p>
    <w:p w:rsidR="00B5355D" w:rsidRPr="0006591E" w:rsidRDefault="00B5355D" w:rsidP="00B5355D">
      <w:pPr>
        <w:pStyle w:val="StandardowytekstZnak"/>
      </w:pPr>
      <w:r w:rsidRPr="0006591E">
        <w:t>Badania kontrolne prawidłowości wykonania poszczególnych warstw nasypu polegają na sprawdzeniu:</w:t>
      </w:r>
    </w:p>
    <w:p w:rsidR="00B5355D" w:rsidRPr="0006591E" w:rsidRDefault="00B5355D" w:rsidP="00B5355D">
      <w:pPr>
        <w:pStyle w:val="StandardowytekstZnak"/>
        <w:numPr>
          <w:ilvl w:val="0"/>
          <w:numId w:val="5"/>
        </w:numPr>
      </w:pPr>
      <w:r w:rsidRPr="0006591E">
        <w:t>prawidłowości rozmieszczenia gruntów o różnych właściwościach w nasypie,</w:t>
      </w:r>
    </w:p>
    <w:p w:rsidR="00B5355D" w:rsidRPr="0006591E" w:rsidRDefault="00B5355D" w:rsidP="00B5355D">
      <w:pPr>
        <w:pStyle w:val="StandardowytekstZnak"/>
        <w:numPr>
          <w:ilvl w:val="0"/>
          <w:numId w:val="5"/>
        </w:numPr>
      </w:pPr>
      <w:r w:rsidRPr="0006591E">
        <w:t>odwodnienia każdej warstwy,</w:t>
      </w:r>
    </w:p>
    <w:p w:rsidR="00B5355D" w:rsidRPr="0006591E" w:rsidRDefault="00B5355D" w:rsidP="00B5355D">
      <w:pPr>
        <w:pStyle w:val="StandardowytekstZnak"/>
        <w:numPr>
          <w:ilvl w:val="0"/>
          <w:numId w:val="5"/>
        </w:numPr>
      </w:pPr>
      <w:r w:rsidRPr="0006591E">
        <w:t xml:space="preserve">grubości każdej warstwy i jej wilgotności przy zagęszczaniu; badania należy przeprowadzić nie rzadziej niż jeden raz na </w:t>
      </w:r>
      <w:smartTag w:uri="urn:schemas-microsoft-com:office:smarttags" w:element="metricconverter">
        <w:smartTagPr>
          <w:attr w:name="ProductID" w:val="500 m2"/>
        </w:smartTagPr>
        <w:r w:rsidRPr="0006591E">
          <w:t>500 m</w:t>
        </w:r>
        <w:r w:rsidRPr="0006591E">
          <w:rPr>
            <w:vertAlign w:val="superscript"/>
          </w:rPr>
          <w:t>2</w:t>
        </w:r>
      </w:smartTag>
      <w:r w:rsidRPr="0006591E">
        <w:t xml:space="preserve"> warstwy,</w:t>
      </w:r>
    </w:p>
    <w:p w:rsidR="00B5355D" w:rsidRPr="0006591E" w:rsidRDefault="00B5355D" w:rsidP="00B5355D">
      <w:pPr>
        <w:pStyle w:val="StandardowytekstZnak"/>
        <w:numPr>
          <w:ilvl w:val="0"/>
          <w:numId w:val="5"/>
        </w:numPr>
      </w:pPr>
      <w:r w:rsidRPr="0006591E">
        <w:t>nadania spadków warstwom z gruntów spoistych według pktu 5.3.3.1 poz. d),</w:t>
      </w:r>
    </w:p>
    <w:p w:rsidR="00B5355D" w:rsidRPr="0006591E" w:rsidRDefault="00B5355D" w:rsidP="00B5355D">
      <w:pPr>
        <w:pStyle w:val="StandardowytekstZnak"/>
        <w:numPr>
          <w:ilvl w:val="0"/>
          <w:numId w:val="5"/>
        </w:numPr>
      </w:pPr>
      <w:r w:rsidRPr="0006591E">
        <w:t xml:space="preserve">przestrzegania ograniczeń określonych w </w:t>
      </w:r>
      <w:proofErr w:type="spellStart"/>
      <w:r w:rsidRPr="0006591E">
        <w:t>pktach</w:t>
      </w:r>
      <w:proofErr w:type="spellEnd"/>
      <w:r w:rsidRPr="0006591E">
        <w:t xml:space="preserve"> 5.3.3.2 i 5.3.3.3, dotyczących wbudowania gruntów w okresie deszczów i mrozów.</w:t>
      </w:r>
    </w:p>
    <w:p w:rsidR="00B5355D" w:rsidRPr="0006591E" w:rsidRDefault="00B5355D" w:rsidP="00B5355D">
      <w:pPr>
        <w:pStyle w:val="StandardowytekstZnak"/>
      </w:pPr>
      <w:r w:rsidRPr="0006591E">
        <w:rPr>
          <w:b/>
        </w:rPr>
        <w:t>6.3.4. Sprawdzenie zagęszczenia nasypu oraz podłoża nasypu</w:t>
      </w:r>
    </w:p>
    <w:p w:rsidR="00B5355D" w:rsidRPr="0006591E" w:rsidRDefault="00B5355D" w:rsidP="00B5355D">
      <w:pPr>
        <w:pStyle w:val="StandardowytekstZnak"/>
      </w:pPr>
      <w:r w:rsidRPr="0006591E">
        <w:lastRenderedPageBreak/>
        <w:t xml:space="preserve">Sprawdzenie zagęszczenia nasypu oraz podłoża nasypu polega na skontrolowaniu zgodności wartości wskaźnika zagęszczenia </w:t>
      </w:r>
      <w:proofErr w:type="spellStart"/>
      <w:r w:rsidRPr="0006591E">
        <w:t>I</w:t>
      </w:r>
      <w:r w:rsidRPr="0006591E">
        <w:rPr>
          <w:vertAlign w:val="subscript"/>
        </w:rPr>
        <w:t>s</w:t>
      </w:r>
      <w:proofErr w:type="spellEnd"/>
      <w:r w:rsidRPr="0006591E">
        <w:t xml:space="preserve"> lub stosunku modułów odkształcenia z wartościami określonymi w </w:t>
      </w:r>
      <w:proofErr w:type="spellStart"/>
      <w:r w:rsidRPr="0006591E">
        <w:t>pktach</w:t>
      </w:r>
      <w:proofErr w:type="spellEnd"/>
      <w:r w:rsidRPr="0006591E">
        <w:t xml:space="preserve"> 5.3.1.1 i 5.3.4.4. </w:t>
      </w:r>
    </w:p>
    <w:p w:rsidR="00B5355D" w:rsidRPr="0006591E" w:rsidRDefault="00B5355D" w:rsidP="00B5355D">
      <w:pPr>
        <w:pStyle w:val="tekstost"/>
        <w:rPr>
          <w:strike/>
        </w:rPr>
      </w:pPr>
      <w:r w:rsidRPr="0006591E">
        <w:t xml:space="preserve">Oznaczenie wskaźnika zagęszczenia </w:t>
      </w:r>
      <w:proofErr w:type="spellStart"/>
      <w:r w:rsidRPr="0006591E">
        <w:t>I</w:t>
      </w:r>
      <w:r w:rsidRPr="0006591E">
        <w:rPr>
          <w:vertAlign w:val="subscript"/>
        </w:rPr>
        <w:t>s</w:t>
      </w:r>
      <w:proofErr w:type="spellEnd"/>
      <w:r w:rsidRPr="0006591E">
        <w:t xml:space="preserve"> powinno być przeprowadzone według normy BN-77/8931-12 [4], oznaczenie modułów odkształcenia według normy PN-S-02205 [3]. </w:t>
      </w:r>
    </w:p>
    <w:p w:rsidR="00B5355D" w:rsidRPr="0006591E" w:rsidRDefault="00B5355D" w:rsidP="00B5355D">
      <w:pPr>
        <w:pStyle w:val="tekstost"/>
      </w:pPr>
      <w:r w:rsidRPr="0006591E">
        <w:t>Zagęszczenie każdej warstwy należy kontrolować nie rzadziej niż:</w:t>
      </w:r>
    </w:p>
    <w:p w:rsidR="00B5355D" w:rsidRPr="0006591E" w:rsidRDefault="00B5355D" w:rsidP="00B5355D">
      <w:pPr>
        <w:pStyle w:val="tekstost"/>
        <w:numPr>
          <w:ilvl w:val="0"/>
          <w:numId w:val="6"/>
        </w:numPr>
      </w:pPr>
      <w:r w:rsidRPr="0006591E">
        <w:t xml:space="preserve">jeden raz w trzech punktach na </w:t>
      </w:r>
      <w:smartTag w:uri="urn:schemas-microsoft-com:office:smarttags" w:element="metricconverter">
        <w:smartTagPr>
          <w:attr w:name="ProductID" w:val="1000 m2"/>
        </w:smartTagPr>
        <w:r w:rsidRPr="0006591E">
          <w:t>1000 m</w:t>
        </w:r>
        <w:r w:rsidRPr="0006591E">
          <w:rPr>
            <w:vertAlign w:val="superscript"/>
          </w:rPr>
          <w:t>2</w:t>
        </w:r>
      </w:smartTag>
      <w:r w:rsidRPr="0006591E">
        <w:t xml:space="preserve"> warstwy, w przypadku określenia wartości </w:t>
      </w:r>
      <w:proofErr w:type="spellStart"/>
      <w:r w:rsidRPr="0006591E">
        <w:t>I</w:t>
      </w:r>
      <w:r w:rsidRPr="0006591E">
        <w:rPr>
          <w:vertAlign w:val="subscript"/>
        </w:rPr>
        <w:t>s</w:t>
      </w:r>
      <w:proofErr w:type="spellEnd"/>
      <w:r w:rsidRPr="0006591E">
        <w:t>,</w:t>
      </w:r>
    </w:p>
    <w:p w:rsidR="00B5355D" w:rsidRPr="0006591E" w:rsidRDefault="00B5355D" w:rsidP="00B5355D">
      <w:pPr>
        <w:pStyle w:val="tekstost"/>
        <w:numPr>
          <w:ilvl w:val="0"/>
          <w:numId w:val="6"/>
        </w:numPr>
      </w:pPr>
      <w:r w:rsidRPr="0006591E">
        <w:t xml:space="preserve">jeden raz w trzech punktach na </w:t>
      </w:r>
      <w:smartTag w:uri="urn:schemas-microsoft-com:office:smarttags" w:element="metricconverter">
        <w:smartTagPr>
          <w:attr w:name="ProductID" w:val="2000 m2"/>
        </w:smartTagPr>
        <w:r w:rsidRPr="0006591E">
          <w:t>2000 m</w:t>
        </w:r>
        <w:r w:rsidRPr="0006591E">
          <w:rPr>
            <w:vertAlign w:val="superscript"/>
          </w:rPr>
          <w:t>2</w:t>
        </w:r>
      </w:smartTag>
      <w:r w:rsidRPr="0006591E">
        <w:t xml:space="preserve"> warstwy w przypadku określenia pierwotnego i wtórnego modułu odkształcenia.</w:t>
      </w:r>
    </w:p>
    <w:p w:rsidR="00B5355D" w:rsidRPr="0006591E" w:rsidRDefault="00B5355D" w:rsidP="00B5355D">
      <w:pPr>
        <w:pStyle w:val="tekstost"/>
      </w:pPr>
      <w:r w:rsidRPr="0006591E">
        <w:t>Wyniki kontroli zagęszczenia robót Wykonawca powinien wpisywać do dokumentów laboratoryjnych. Prawidłowość zagęszczenia konkretnej warstwy nasypu lub podłoża pod nasypem powinna być potwierdzona przez Inspektora Nadzoru wpisem w dzienniku budowy.</w:t>
      </w:r>
    </w:p>
    <w:p w:rsidR="00B5355D" w:rsidRPr="0006591E" w:rsidRDefault="00B5355D" w:rsidP="00B5355D">
      <w:pPr>
        <w:pStyle w:val="tekstost"/>
      </w:pPr>
      <w:r w:rsidRPr="0006591E">
        <w:rPr>
          <w:b/>
        </w:rPr>
        <w:t>6.3.5. Pomiary kształtu nasypu</w:t>
      </w:r>
    </w:p>
    <w:p w:rsidR="00B5355D" w:rsidRPr="0006591E" w:rsidRDefault="00B5355D" w:rsidP="00B5355D">
      <w:pPr>
        <w:pStyle w:val="tekstost"/>
      </w:pPr>
      <w:r w:rsidRPr="0006591E">
        <w:t>Pomiary kształtu nasypu obejmują kontrolę:</w:t>
      </w:r>
    </w:p>
    <w:p w:rsidR="00B5355D" w:rsidRPr="0006591E" w:rsidRDefault="00B5355D" w:rsidP="00B5355D">
      <w:pPr>
        <w:pStyle w:val="tekstost"/>
        <w:numPr>
          <w:ilvl w:val="0"/>
          <w:numId w:val="7"/>
        </w:numPr>
      </w:pPr>
      <w:r w:rsidRPr="0006591E">
        <w:t>prawidłowości wykonania skarp,</w:t>
      </w:r>
    </w:p>
    <w:p w:rsidR="00B5355D" w:rsidRPr="0006591E" w:rsidRDefault="00B5355D" w:rsidP="00B5355D">
      <w:pPr>
        <w:pStyle w:val="tekstost"/>
        <w:numPr>
          <w:ilvl w:val="0"/>
          <w:numId w:val="7"/>
        </w:numPr>
      </w:pPr>
      <w:r w:rsidRPr="0006591E">
        <w:t>szerokości korony korpusu.</w:t>
      </w:r>
    </w:p>
    <w:p w:rsidR="00B5355D" w:rsidRPr="0006591E" w:rsidRDefault="00B5355D" w:rsidP="00B5355D">
      <w:pPr>
        <w:pStyle w:val="Standardowytekst1"/>
      </w:pPr>
      <w:r w:rsidRPr="0006591E">
        <w:t>Sprawdzenie prawidłowości wykonania skarp polega na skontrolowaniu zgodności z wymaganiami dotyczącymi pochyleń i dokładności wykonania skarp, określonymi w dokumentacji projektowej i STWIORB.</w:t>
      </w:r>
    </w:p>
    <w:p w:rsidR="00B5355D" w:rsidRPr="0006591E" w:rsidRDefault="00B5355D" w:rsidP="00B5355D">
      <w:pPr>
        <w:pStyle w:val="Standardowytekst1"/>
      </w:pPr>
      <w:r w:rsidRPr="0006591E">
        <w:t>Sprawdzenie szerokości korony korpusu polega na porównaniu szerokości korony korpusu na poziomie wykonywanej warstwy nasypu z szerokością wynikającą z wymiarów geometrycznych korpusu, określonych w dokumentacji projektowej.</w:t>
      </w:r>
    </w:p>
    <w:bookmarkEnd w:id="13"/>
    <w:bookmarkEnd w:id="14"/>
    <w:p w:rsidR="00B5355D" w:rsidRPr="0006591E" w:rsidRDefault="00B5355D" w:rsidP="00B5355D">
      <w:pPr>
        <w:pStyle w:val="Zwykytekst"/>
        <w:spacing w:before="240"/>
        <w:jc w:val="both"/>
        <w:rPr>
          <w:rFonts w:ascii="Times New Roman" w:hAnsi="Times New Roman"/>
          <w:b/>
        </w:rPr>
      </w:pPr>
      <w:r w:rsidRPr="0006591E">
        <w:rPr>
          <w:rFonts w:ascii="Times New Roman" w:hAnsi="Times New Roman"/>
          <w:b/>
        </w:rPr>
        <w:t>7. OBMIAR ROBÓT</w:t>
      </w:r>
    </w:p>
    <w:p w:rsidR="00B5355D" w:rsidRPr="0006591E" w:rsidRDefault="00B5355D" w:rsidP="00B5355D">
      <w:pPr>
        <w:pStyle w:val="Zwykytekst"/>
        <w:jc w:val="both"/>
        <w:rPr>
          <w:rFonts w:ascii="Times New Roman" w:hAnsi="Times New Roman"/>
          <w:b/>
          <w:u w:val="single"/>
        </w:rPr>
      </w:pPr>
      <w:r w:rsidRPr="0006591E">
        <w:rPr>
          <w:rFonts w:ascii="Times New Roman" w:hAnsi="Times New Roman"/>
          <w:b/>
          <w:u w:val="single"/>
        </w:rPr>
        <w:t>7.1. Ogólne zasady obmiaru robót</w:t>
      </w:r>
    </w:p>
    <w:p w:rsidR="00B5355D" w:rsidRPr="0006591E" w:rsidRDefault="00B5355D" w:rsidP="00B5355D">
      <w:pPr>
        <w:pStyle w:val="Zwykytekst"/>
        <w:jc w:val="both"/>
        <w:rPr>
          <w:rFonts w:ascii="Times New Roman" w:hAnsi="Times New Roman"/>
        </w:rPr>
      </w:pPr>
      <w:r w:rsidRPr="0006591E">
        <w:rPr>
          <w:rFonts w:ascii="Times New Roman" w:hAnsi="Times New Roman"/>
        </w:rPr>
        <w:t>Ogólne zasady obmiaru robót podano w STWIORB D-M-02.00.01 pkt. 7.</w:t>
      </w:r>
    </w:p>
    <w:p w:rsidR="00B5355D" w:rsidRPr="0006591E" w:rsidRDefault="00B5355D" w:rsidP="00B5355D">
      <w:pPr>
        <w:pStyle w:val="Zwykytekst"/>
        <w:jc w:val="both"/>
        <w:rPr>
          <w:rFonts w:ascii="Times New Roman" w:hAnsi="Times New Roman"/>
          <w:b/>
          <w:u w:val="single"/>
        </w:rPr>
      </w:pPr>
      <w:r w:rsidRPr="0006591E">
        <w:rPr>
          <w:rFonts w:ascii="Times New Roman" w:hAnsi="Times New Roman"/>
          <w:b/>
          <w:u w:val="single"/>
        </w:rPr>
        <w:t>7.2. Jednostka obmiarowa</w:t>
      </w:r>
    </w:p>
    <w:p w:rsidR="00B5355D" w:rsidRPr="0006591E" w:rsidRDefault="00B5355D" w:rsidP="00B5355D">
      <w:pPr>
        <w:pStyle w:val="Zwykytekst"/>
        <w:jc w:val="both"/>
        <w:rPr>
          <w:rFonts w:ascii="Times New Roman" w:hAnsi="Times New Roman"/>
        </w:rPr>
      </w:pPr>
      <w:r w:rsidRPr="0006591E">
        <w:rPr>
          <w:rFonts w:ascii="Times New Roman" w:hAnsi="Times New Roman"/>
        </w:rPr>
        <w:t>Jednostką obmiarową robót związanych z wykonaniem nasypów jest metr sześcienny [m</w:t>
      </w:r>
      <w:r w:rsidRPr="0006591E">
        <w:rPr>
          <w:rFonts w:ascii="Times New Roman" w:hAnsi="Times New Roman"/>
          <w:vertAlign w:val="superscript"/>
        </w:rPr>
        <w:t>3</w:t>
      </w:r>
      <w:r w:rsidRPr="0006591E">
        <w:rPr>
          <w:rFonts w:ascii="Times New Roman" w:hAnsi="Times New Roman"/>
        </w:rPr>
        <w:t xml:space="preserve">]. Objętość </w:t>
      </w:r>
      <w:proofErr w:type="spellStart"/>
      <w:r w:rsidRPr="0006591E">
        <w:rPr>
          <w:rFonts w:ascii="Times New Roman" w:hAnsi="Times New Roman"/>
        </w:rPr>
        <w:t>dokopu</w:t>
      </w:r>
      <w:proofErr w:type="spellEnd"/>
      <w:r w:rsidRPr="0006591E">
        <w:rPr>
          <w:rFonts w:ascii="Times New Roman" w:hAnsi="Times New Roman"/>
        </w:rPr>
        <w:t xml:space="preserve"> będzie ustalona w metrach sześciennych jako różnica ogólnej objętości nasypów i ogólnej objętości wykopów, pomniejszonej o objętość gruntów nieprzydatnych do budowy nasypów, z uwzględnieniem spulchnienia gruntu, tj. procentowego stosunku objętości gruntu w stanie rodzimym do objętości w nasypie.</w:t>
      </w:r>
    </w:p>
    <w:p w:rsidR="00B5355D" w:rsidRPr="0006591E" w:rsidRDefault="00B5355D" w:rsidP="00B5355D">
      <w:pPr>
        <w:pStyle w:val="Zwykytekst"/>
        <w:jc w:val="both"/>
        <w:rPr>
          <w:rFonts w:ascii="Times New Roman" w:hAnsi="Times New Roman"/>
        </w:rPr>
      </w:pPr>
      <w:r w:rsidRPr="0006591E">
        <w:rPr>
          <w:rFonts w:ascii="Times New Roman" w:hAnsi="Times New Roman"/>
        </w:rPr>
        <w:t>Objętość nasypów będzie ustalona w metrach sześciennych na podstawie obliczeń z przekrojów poprzecznych, w oparciu o poziom gruntu rodzimego lub poziom gruntu po usunięciu warstw gruntów nieprzydatnych.</w:t>
      </w:r>
    </w:p>
    <w:p w:rsidR="00B5355D" w:rsidRPr="0006591E" w:rsidRDefault="00B5355D" w:rsidP="00B5355D">
      <w:pPr>
        <w:spacing w:before="240"/>
        <w:jc w:val="both"/>
        <w:rPr>
          <w:b/>
          <w:sz w:val="20"/>
        </w:rPr>
      </w:pPr>
      <w:r w:rsidRPr="0006591E">
        <w:rPr>
          <w:b/>
          <w:sz w:val="20"/>
        </w:rPr>
        <w:t>8. ODBIÓR ROBÓT</w:t>
      </w:r>
    </w:p>
    <w:p w:rsidR="00B5355D" w:rsidRPr="0006591E" w:rsidRDefault="00B5355D" w:rsidP="00B5355D">
      <w:pPr>
        <w:pStyle w:val="Zwykytekst"/>
        <w:jc w:val="both"/>
        <w:rPr>
          <w:rFonts w:ascii="Times New Roman" w:hAnsi="Times New Roman"/>
          <w:b/>
          <w:u w:val="single"/>
        </w:rPr>
      </w:pPr>
      <w:r w:rsidRPr="0006591E">
        <w:rPr>
          <w:rFonts w:ascii="Times New Roman" w:hAnsi="Times New Roman"/>
          <w:b/>
          <w:u w:val="single"/>
        </w:rPr>
        <w:t>8.1. Ogólne zasady obmiaru robót</w:t>
      </w:r>
    </w:p>
    <w:p w:rsidR="00B5355D" w:rsidRPr="0006591E" w:rsidRDefault="00B5355D" w:rsidP="00B5355D">
      <w:pPr>
        <w:pStyle w:val="Zwykytekst"/>
        <w:jc w:val="both"/>
        <w:rPr>
          <w:rFonts w:ascii="Times New Roman" w:hAnsi="Times New Roman"/>
        </w:rPr>
      </w:pPr>
      <w:r w:rsidRPr="0006591E">
        <w:rPr>
          <w:rFonts w:ascii="Times New Roman" w:hAnsi="Times New Roman"/>
        </w:rPr>
        <w:t>Ogólne zasady odbioru robót podano w STWIORB D-M-00.00.00 pkt. 8</w:t>
      </w:r>
    </w:p>
    <w:p w:rsidR="00B5355D" w:rsidRPr="0006591E" w:rsidRDefault="00B5355D" w:rsidP="00B5355D">
      <w:pPr>
        <w:jc w:val="both"/>
        <w:rPr>
          <w:b/>
          <w:sz w:val="20"/>
          <w:u w:val="single"/>
        </w:rPr>
      </w:pPr>
      <w:r w:rsidRPr="0006591E">
        <w:rPr>
          <w:b/>
          <w:sz w:val="20"/>
          <w:u w:val="single"/>
        </w:rPr>
        <w:t xml:space="preserve">8.2. Zasady postępowania w przypadku wystąpienia wad i usterek </w:t>
      </w:r>
    </w:p>
    <w:p w:rsidR="00B5355D" w:rsidRPr="0006591E" w:rsidRDefault="00B5355D" w:rsidP="00B5355D">
      <w:pPr>
        <w:pStyle w:val="Tekstpodstawowy"/>
        <w:ind w:right="-57"/>
        <w:rPr>
          <w:rFonts w:ascii="Times New Roman" w:hAnsi="Times New Roman"/>
          <w:b w:val="0"/>
          <w:snapToGrid/>
          <w:color w:val="auto"/>
          <w:sz w:val="20"/>
        </w:rPr>
      </w:pPr>
      <w:r w:rsidRPr="0006591E">
        <w:rPr>
          <w:rFonts w:ascii="Times New Roman" w:hAnsi="Times New Roman"/>
          <w:b w:val="0"/>
          <w:snapToGrid/>
          <w:color w:val="auto"/>
          <w:sz w:val="20"/>
        </w:rPr>
        <w:t xml:space="preserve">W przypadku wystąpienia wad i usterek Wykonawca zobowiązany jest do ich usunięcia na własny koszt. Odbiór jest możliwy po spełnieniu wymagań określonych w punkcie 6. STWIORB. </w:t>
      </w:r>
    </w:p>
    <w:p w:rsidR="00B5355D" w:rsidRPr="0006591E" w:rsidRDefault="00B5355D" w:rsidP="00B5355D">
      <w:pPr>
        <w:spacing w:before="240"/>
        <w:jc w:val="both"/>
        <w:rPr>
          <w:b/>
          <w:sz w:val="20"/>
        </w:rPr>
      </w:pPr>
      <w:r w:rsidRPr="0006591E">
        <w:rPr>
          <w:b/>
          <w:sz w:val="20"/>
        </w:rPr>
        <w:t>9. PODSTAWA PŁATNOŚCI</w:t>
      </w:r>
    </w:p>
    <w:p w:rsidR="00B5355D" w:rsidRPr="0006591E" w:rsidRDefault="00B5355D" w:rsidP="00B5355D">
      <w:pPr>
        <w:jc w:val="both"/>
        <w:rPr>
          <w:b/>
          <w:sz w:val="20"/>
          <w:u w:val="single"/>
        </w:rPr>
      </w:pPr>
      <w:r w:rsidRPr="0006591E">
        <w:rPr>
          <w:b/>
          <w:sz w:val="20"/>
          <w:u w:val="single"/>
        </w:rPr>
        <w:t>9.1. Ustalenia ogólne dotyczące płatności</w:t>
      </w:r>
    </w:p>
    <w:p w:rsidR="00B5355D" w:rsidRPr="0006591E" w:rsidRDefault="00B5355D" w:rsidP="00B5355D">
      <w:pPr>
        <w:jc w:val="both"/>
        <w:rPr>
          <w:sz w:val="20"/>
        </w:rPr>
      </w:pPr>
      <w:r w:rsidRPr="0006591E">
        <w:rPr>
          <w:sz w:val="20"/>
        </w:rPr>
        <w:t>Ustalenia ogólne dotyczące podstawy płatności podano w STWIORB D-02.00.01 pkt. 9.</w:t>
      </w:r>
    </w:p>
    <w:p w:rsidR="00B5355D" w:rsidRPr="0006591E" w:rsidRDefault="00B5355D" w:rsidP="00B5355D">
      <w:pPr>
        <w:jc w:val="both"/>
        <w:rPr>
          <w:b/>
          <w:sz w:val="20"/>
          <w:u w:val="single"/>
        </w:rPr>
      </w:pPr>
      <w:r w:rsidRPr="0006591E">
        <w:rPr>
          <w:b/>
          <w:sz w:val="20"/>
          <w:u w:val="single"/>
        </w:rPr>
        <w:t>9.2. Cena jednostki obmiarowej</w:t>
      </w:r>
    </w:p>
    <w:p w:rsidR="00B5355D" w:rsidRPr="0006591E" w:rsidRDefault="00B5355D" w:rsidP="00B5355D">
      <w:pPr>
        <w:jc w:val="both"/>
        <w:rPr>
          <w:sz w:val="20"/>
        </w:rPr>
      </w:pPr>
      <w:r w:rsidRPr="0006591E">
        <w:rPr>
          <w:sz w:val="20"/>
        </w:rPr>
        <w:t xml:space="preserve">Cena </w:t>
      </w:r>
      <w:smartTag w:uri="urn:schemas-microsoft-com:office:smarttags" w:element="metricconverter">
        <w:smartTagPr>
          <w:attr w:name="ProductID" w:val="1 metra sześciennego"/>
        </w:smartTagPr>
        <w:r w:rsidRPr="0006591E">
          <w:rPr>
            <w:sz w:val="20"/>
          </w:rPr>
          <w:t>1 metra sześciennego</w:t>
        </w:r>
      </w:smartTag>
      <w:r w:rsidRPr="0006591E">
        <w:rPr>
          <w:sz w:val="20"/>
        </w:rPr>
        <w:t xml:space="preserve"> [m</w:t>
      </w:r>
      <w:r w:rsidRPr="0006591E">
        <w:rPr>
          <w:sz w:val="20"/>
          <w:vertAlign w:val="superscript"/>
        </w:rPr>
        <w:t>3</w:t>
      </w:r>
      <w:r w:rsidRPr="0006591E">
        <w:rPr>
          <w:sz w:val="20"/>
        </w:rPr>
        <w:t>] wykonania nasypów obejmuje:</w:t>
      </w:r>
    </w:p>
    <w:p w:rsidR="00B5355D" w:rsidRPr="0006591E" w:rsidRDefault="00B5355D" w:rsidP="00B5355D">
      <w:pPr>
        <w:numPr>
          <w:ilvl w:val="0"/>
          <w:numId w:val="8"/>
        </w:numPr>
        <w:rPr>
          <w:sz w:val="20"/>
        </w:rPr>
      </w:pPr>
      <w:r w:rsidRPr="0006591E">
        <w:rPr>
          <w:sz w:val="20"/>
        </w:rPr>
        <w:t>prace pomiarowe i przygotowawcze,</w:t>
      </w:r>
    </w:p>
    <w:p w:rsidR="00B5355D" w:rsidRPr="0006591E" w:rsidRDefault="00B5355D" w:rsidP="00B5355D">
      <w:pPr>
        <w:numPr>
          <w:ilvl w:val="0"/>
          <w:numId w:val="8"/>
        </w:numPr>
        <w:rPr>
          <w:sz w:val="20"/>
        </w:rPr>
      </w:pPr>
      <w:r w:rsidRPr="0006591E">
        <w:rPr>
          <w:sz w:val="20"/>
        </w:rPr>
        <w:t>oznakowanie robót,</w:t>
      </w:r>
    </w:p>
    <w:p w:rsidR="00B5355D" w:rsidRPr="0006591E" w:rsidRDefault="00B5355D" w:rsidP="00B5355D">
      <w:pPr>
        <w:numPr>
          <w:ilvl w:val="0"/>
          <w:numId w:val="8"/>
        </w:numPr>
        <w:rPr>
          <w:sz w:val="20"/>
        </w:rPr>
      </w:pPr>
      <w:r w:rsidRPr="0006591E">
        <w:rPr>
          <w:sz w:val="20"/>
        </w:rPr>
        <w:t>przygotowanie podłoża pod nasyp (profilowanie, zagęszczenie),</w:t>
      </w:r>
    </w:p>
    <w:p w:rsidR="00B5355D" w:rsidRPr="0006591E" w:rsidRDefault="00B5355D" w:rsidP="00B5355D">
      <w:pPr>
        <w:numPr>
          <w:ilvl w:val="0"/>
          <w:numId w:val="8"/>
        </w:numPr>
        <w:rPr>
          <w:sz w:val="20"/>
        </w:rPr>
      </w:pPr>
      <w:r w:rsidRPr="0006591E">
        <w:rPr>
          <w:sz w:val="20"/>
        </w:rPr>
        <w:t>pozyskanie gruntu, jego odspojenie i załadunek na środki transportowe,</w:t>
      </w:r>
    </w:p>
    <w:p w:rsidR="00B5355D" w:rsidRPr="0006591E" w:rsidRDefault="00B5355D" w:rsidP="00B5355D">
      <w:pPr>
        <w:numPr>
          <w:ilvl w:val="0"/>
          <w:numId w:val="8"/>
        </w:numPr>
      </w:pPr>
      <w:r w:rsidRPr="0006591E">
        <w:rPr>
          <w:sz w:val="20"/>
        </w:rPr>
        <w:t>transport urobku na miejsce wbudowania,</w:t>
      </w:r>
    </w:p>
    <w:p w:rsidR="00B5355D" w:rsidRPr="0006591E" w:rsidRDefault="00B5355D" w:rsidP="00B5355D">
      <w:pPr>
        <w:numPr>
          <w:ilvl w:val="0"/>
          <w:numId w:val="8"/>
        </w:numPr>
      </w:pPr>
      <w:r w:rsidRPr="0006591E">
        <w:rPr>
          <w:sz w:val="20"/>
        </w:rPr>
        <w:t xml:space="preserve">składowanie gruntu z </w:t>
      </w:r>
      <w:proofErr w:type="spellStart"/>
      <w:r w:rsidRPr="0006591E">
        <w:rPr>
          <w:sz w:val="20"/>
        </w:rPr>
        <w:t>dokopu</w:t>
      </w:r>
      <w:proofErr w:type="spellEnd"/>
      <w:r w:rsidRPr="0006591E">
        <w:rPr>
          <w:sz w:val="20"/>
        </w:rPr>
        <w:t>,</w:t>
      </w:r>
    </w:p>
    <w:p w:rsidR="00B5355D" w:rsidRPr="0006591E" w:rsidRDefault="00B5355D" w:rsidP="00B5355D">
      <w:pPr>
        <w:numPr>
          <w:ilvl w:val="0"/>
          <w:numId w:val="8"/>
        </w:numPr>
        <w:rPr>
          <w:sz w:val="20"/>
        </w:rPr>
      </w:pPr>
      <w:r w:rsidRPr="0006591E">
        <w:rPr>
          <w:sz w:val="20"/>
        </w:rPr>
        <w:t>wbudowanie dostarczonego gruntu w nasyp,</w:t>
      </w:r>
    </w:p>
    <w:p w:rsidR="00B5355D" w:rsidRPr="0006591E" w:rsidRDefault="00B5355D" w:rsidP="00B5355D">
      <w:pPr>
        <w:numPr>
          <w:ilvl w:val="0"/>
          <w:numId w:val="8"/>
        </w:numPr>
        <w:rPr>
          <w:sz w:val="20"/>
        </w:rPr>
      </w:pPr>
      <w:r w:rsidRPr="0006591E">
        <w:rPr>
          <w:sz w:val="20"/>
        </w:rPr>
        <w:t xml:space="preserve">cenę ulepszenia gruntu wraz z ceną użytego spoiwa i materiału </w:t>
      </w:r>
      <w:proofErr w:type="spellStart"/>
      <w:r w:rsidRPr="0006591E">
        <w:rPr>
          <w:sz w:val="20"/>
        </w:rPr>
        <w:t>doziarniającego</w:t>
      </w:r>
      <w:proofErr w:type="spellEnd"/>
      <w:r w:rsidRPr="0006591E">
        <w:rPr>
          <w:sz w:val="20"/>
        </w:rPr>
        <w:t>,</w:t>
      </w:r>
    </w:p>
    <w:p w:rsidR="00B5355D" w:rsidRPr="0006591E" w:rsidRDefault="00B5355D" w:rsidP="00B5355D">
      <w:pPr>
        <w:numPr>
          <w:ilvl w:val="0"/>
          <w:numId w:val="8"/>
        </w:numPr>
        <w:rPr>
          <w:sz w:val="20"/>
        </w:rPr>
      </w:pPr>
      <w:r w:rsidRPr="0006591E">
        <w:rPr>
          <w:sz w:val="20"/>
        </w:rPr>
        <w:t>zagęszczenie gruntu,</w:t>
      </w:r>
    </w:p>
    <w:p w:rsidR="00B5355D" w:rsidRPr="0006591E" w:rsidRDefault="00B5355D" w:rsidP="00B5355D">
      <w:pPr>
        <w:numPr>
          <w:ilvl w:val="0"/>
          <w:numId w:val="8"/>
        </w:numPr>
        <w:rPr>
          <w:sz w:val="20"/>
        </w:rPr>
      </w:pPr>
      <w:r w:rsidRPr="0006591E">
        <w:rPr>
          <w:sz w:val="20"/>
        </w:rPr>
        <w:t>profilowanie powierzchni nasypu, rowów i skarp,</w:t>
      </w:r>
    </w:p>
    <w:p w:rsidR="00B5355D" w:rsidRPr="0006591E" w:rsidRDefault="00B5355D" w:rsidP="00B5355D">
      <w:pPr>
        <w:numPr>
          <w:ilvl w:val="0"/>
          <w:numId w:val="8"/>
        </w:numPr>
        <w:rPr>
          <w:sz w:val="20"/>
        </w:rPr>
      </w:pPr>
      <w:r w:rsidRPr="0006591E">
        <w:rPr>
          <w:sz w:val="20"/>
        </w:rPr>
        <w:t xml:space="preserve">wyprofilowanie skarp ukopu i </w:t>
      </w:r>
      <w:proofErr w:type="spellStart"/>
      <w:r w:rsidRPr="0006591E">
        <w:rPr>
          <w:sz w:val="20"/>
        </w:rPr>
        <w:t>dokopu</w:t>
      </w:r>
      <w:proofErr w:type="spellEnd"/>
      <w:r w:rsidRPr="0006591E">
        <w:rPr>
          <w:sz w:val="20"/>
        </w:rPr>
        <w:t>,</w:t>
      </w:r>
    </w:p>
    <w:p w:rsidR="00B5355D" w:rsidRPr="0006591E" w:rsidRDefault="00B5355D" w:rsidP="00B5355D">
      <w:pPr>
        <w:numPr>
          <w:ilvl w:val="0"/>
          <w:numId w:val="8"/>
        </w:numPr>
        <w:rPr>
          <w:sz w:val="20"/>
        </w:rPr>
      </w:pPr>
      <w:r w:rsidRPr="0006591E">
        <w:rPr>
          <w:sz w:val="20"/>
        </w:rPr>
        <w:t xml:space="preserve">koszt zabezpieczenia skarp nasypów przed rozmywaniem na czas prowadzenia wszystkich robót, do czasu </w:t>
      </w:r>
      <w:proofErr w:type="spellStart"/>
      <w:r w:rsidRPr="0006591E">
        <w:rPr>
          <w:sz w:val="20"/>
        </w:rPr>
        <w:t>zastabilizowania</w:t>
      </w:r>
      <w:proofErr w:type="spellEnd"/>
      <w:r w:rsidRPr="0006591E">
        <w:rPr>
          <w:sz w:val="20"/>
        </w:rPr>
        <w:t xml:space="preserve"> skarp (ukorzenienia traw),</w:t>
      </w:r>
    </w:p>
    <w:p w:rsidR="00B5355D" w:rsidRPr="0006591E" w:rsidRDefault="00B5355D" w:rsidP="00B5355D">
      <w:pPr>
        <w:numPr>
          <w:ilvl w:val="0"/>
          <w:numId w:val="8"/>
        </w:numPr>
        <w:rPr>
          <w:sz w:val="20"/>
        </w:rPr>
      </w:pPr>
      <w:r w:rsidRPr="0006591E">
        <w:rPr>
          <w:sz w:val="20"/>
        </w:rPr>
        <w:t xml:space="preserve">rekultywację </w:t>
      </w:r>
      <w:proofErr w:type="spellStart"/>
      <w:r w:rsidRPr="0006591E">
        <w:rPr>
          <w:sz w:val="20"/>
        </w:rPr>
        <w:t>dokopu</w:t>
      </w:r>
      <w:proofErr w:type="spellEnd"/>
      <w:r w:rsidRPr="0006591E">
        <w:rPr>
          <w:sz w:val="20"/>
        </w:rPr>
        <w:t xml:space="preserve"> i terenu przyległego do drogi,</w:t>
      </w:r>
    </w:p>
    <w:p w:rsidR="00B5355D" w:rsidRPr="0006591E" w:rsidRDefault="00B5355D" w:rsidP="00B5355D">
      <w:pPr>
        <w:numPr>
          <w:ilvl w:val="0"/>
          <w:numId w:val="8"/>
        </w:numPr>
        <w:rPr>
          <w:sz w:val="20"/>
        </w:rPr>
      </w:pPr>
      <w:r w:rsidRPr="0006591E">
        <w:rPr>
          <w:sz w:val="20"/>
        </w:rPr>
        <w:t>odwodnienie terenu robót,</w:t>
      </w:r>
    </w:p>
    <w:p w:rsidR="00B5355D" w:rsidRPr="0006591E" w:rsidRDefault="00B5355D" w:rsidP="00B5355D">
      <w:pPr>
        <w:numPr>
          <w:ilvl w:val="0"/>
          <w:numId w:val="8"/>
        </w:numPr>
        <w:rPr>
          <w:sz w:val="20"/>
        </w:rPr>
      </w:pPr>
      <w:r w:rsidRPr="0006591E">
        <w:rPr>
          <w:sz w:val="20"/>
        </w:rPr>
        <w:lastRenderedPageBreak/>
        <w:t>wykonanie dróg dojazdowych na czas budowy, a następnie ich rozebranie,</w:t>
      </w:r>
    </w:p>
    <w:p w:rsidR="00B5355D" w:rsidRPr="0006591E" w:rsidRDefault="00B5355D" w:rsidP="00B5355D">
      <w:pPr>
        <w:numPr>
          <w:ilvl w:val="0"/>
          <w:numId w:val="8"/>
        </w:numPr>
      </w:pPr>
      <w:r w:rsidRPr="0006591E">
        <w:rPr>
          <w:sz w:val="20"/>
        </w:rPr>
        <w:t>przeprowadzenie pomiarów i badań laboratoryjnych wymaganych w specyfikacji technicznej,</w:t>
      </w:r>
      <w:r w:rsidRPr="0006591E">
        <w:tab/>
      </w:r>
    </w:p>
    <w:p w:rsidR="00B5355D" w:rsidRPr="0006591E" w:rsidRDefault="00B5355D" w:rsidP="00B5355D">
      <w:pPr>
        <w:numPr>
          <w:ilvl w:val="0"/>
          <w:numId w:val="8"/>
        </w:numPr>
      </w:pPr>
      <w:r w:rsidRPr="0006591E">
        <w:rPr>
          <w:sz w:val="20"/>
          <w:szCs w:val="20"/>
        </w:rPr>
        <w:t>wszystkie inne czynności nieujęte a konieczne do wykonania w ramach niniejszej specyfikacji.</w:t>
      </w:r>
    </w:p>
    <w:p w:rsidR="00B5355D" w:rsidRPr="0006591E" w:rsidRDefault="00B5355D" w:rsidP="00B5355D">
      <w:pPr>
        <w:pStyle w:val="Standardowytekst1"/>
        <w:spacing w:before="240"/>
        <w:rPr>
          <w:b/>
        </w:rPr>
      </w:pPr>
      <w:bookmarkStart w:id="17" w:name="_Toc406295878"/>
      <w:bookmarkStart w:id="18" w:name="_Toc407161298"/>
      <w:bookmarkStart w:id="19" w:name="_Toc418994954"/>
      <w:bookmarkStart w:id="20" w:name="_Toc418996361"/>
      <w:bookmarkStart w:id="21" w:name="_Toc418996730"/>
      <w:bookmarkStart w:id="22" w:name="_Toc418997117"/>
      <w:bookmarkStart w:id="23" w:name="_Toc418998527"/>
      <w:bookmarkStart w:id="24" w:name="_Toc418998883"/>
      <w:bookmarkStart w:id="25" w:name="_Toc419000128"/>
      <w:r w:rsidRPr="0006591E">
        <w:rPr>
          <w:b/>
        </w:rPr>
        <w:t>10. PRZEPISY ZWIĄZANE</w:t>
      </w:r>
      <w:bookmarkEnd w:id="17"/>
      <w:bookmarkEnd w:id="18"/>
      <w:bookmarkEnd w:id="19"/>
      <w:bookmarkEnd w:id="20"/>
      <w:bookmarkEnd w:id="21"/>
      <w:bookmarkEnd w:id="22"/>
      <w:bookmarkEnd w:id="23"/>
      <w:bookmarkEnd w:id="24"/>
      <w:bookmarkEnd w:id="25"/>
    </w:p>
    <w:p w:rsidR="00B5355D" w:rsidRPr="0006591E" w:rsidRDefault="00B5355D" w:rsidP="00B5355D">
      <w:pPr>
        <w:pStyle w:val="StandardowytekstZnak"/>
        <w:rPr>
          <w:b/>
          <w:u w:val="single"/>
        </w:rPr>
      </w:pPr>
      <w:r w:rsidRPr="0006591E">
        <w:rPr>
          <w:b/>
          <w:u w:val="single"/>
        </w:rPr>
        <w:t>10.1. Normy</w:t>
      </w:r>
    </w:p>
    <w:tbl>
      <w:tblPr>
        <w:tblW w:w="0" w:type="auto"/>
        <w:tblLayout w:type="fixed"/>
        <w:tblCellMar>
          <w:left w:w="70" w:type="dxa"/>
          <w:right w:w="70" w:type="dxa"/>
        </w:tblCellMar>
        <w:tblLook w:val="0000"/>
      </w:tblPr>
      <w:tblGrid>
        <w:gridCol w:w="354"/>
        <w:gridCol w:w="1876"/>
        <w:gridCol w:w="7200"/>
      </w:tblGrid>
      <w:tr w:rsidR="00B5355D" w:rsidRPr="0006591E" w:rsidTr="00905A5C">
        <w:tc>
          <w:tcPr>
            <w:tcW w:w="354" w:type="dxa"/>
          </w:tcPr>
          <w:p w:rsidR="00B5355D" w:rsidRPr="0006591E" w:rsidRDefault="00B5355D" w:rsidP="00905A5C">
            <w:pPr>
              <w:pStyle w:val="StandardowytekstZnak"/>
            </w:pPr>
            <w:r w:rsidRPr="0006591E">
              <w:t>1.</w:t>
            </w:r>
          </w:p>
        </w:tc>
        <w:tc>
          <w:tcPr>
            <w:tcW w:w="1876" w:type="dxa"/>
          </w:tcPr>
          <w:p w:rsidR="00B5355D" w:rsidRPr="0006591E" w:rsidRDefault="00B5355D" w:rsidP="00905A5C">
            <w:pPr>
              <w:pStyle w:val="StandardowytekstZnak"/>
            </w:pPr>
            <w:r w:rsidRPr="0006591E">
              <w:t>PN-B-04481</w:t>
            </w:r>
          </w:p>
        </w:tc>
        <w:tc>
          <w:tcPr>
            <w:tcW w:w="7200" w:type="dxa"/>
          </w:tcPr>
          <w:p w:rsidR="00B5355D" w:rsidRPr="0006591E" w:rsidRDefault="00B5355D" w:rsidP="00905A5C">
            <w:pPr>
              <w:pStyle w:val="StandardowytekstZnak"/>
            </w:pPr>
            <w:r w:rsidRPr="0006591E">
              <w:t>Grunty budowlane. Badania próbek gruntów</w:t>
            </w:r>
          </w:p>
        </w:tc>
      </w:tr>
      <w:tr w:rsidR="00B5355D" w:rsidRPr="0006591E" w:rsidTr="00905A5C">
        <w:tc>
          <w:tcPr>
            <w:tcW w:w="354" w:type="dxa"/>
          </w:tcPr>
          <w:p w:rsidR="00B5355D" w:rsidRPr="0006591E" w:rsidRDefault="00B5355D" w:rsidP="00905A5C">
            <w:pPr>
              <w:pStyle w:val="StandardowytekstZnak"/>
            </w:pPr>
            <w:r w:rsidRPr="0006591E">
              <w:t>2.</w:t>
            </w:r>
          </w:p>
        </w:tc>
        <w:tc>
          <w:tcPr>
            <w:tcW w:w="1876" w:type="dxa"/>
          </w:tcPr>
          <w:p w:rsidR="00B5355D" w:rsidRPr="0006591E" w:rsidRDefault="00B5355D" w:rsidP="00905A5C">
            <w:pPr>
              <w:pStyle w:val="StandardowytekstZnak"/>
            </w:pPr>
            <w:r w:rsidRPr="0006591E">
              <w:t>PN-B-04493</w:t>
            </w:r>
          </w:p>
        </w:tc>
        <w:tc>
          <w:tcPr>
            <w:tcW w:w="7200" w:type="dxa"/>
          </w:tcPr>
          <w:p w:rsidR="00B5355D" w:rsidRPr="0006591E" w:rsidRDefault="00B5355D" w:rsidP="00905A5C">
            <w:pPr>
              <w:pStyle w:val="StandardowytekstZnak"/>
            </w:pPr>
            <w:r w:rsidRPr="0006591E">
              <w:t>Grunty budowlane. Oznaczanie kapilarności biernej</w:t>
            </w:r>
          </w:p>
        </w:tc>
      </w:tr>
      <w:tr w:rsidR="00B5355D" w:rsidRPr="0006591E" w:rsidTr="00905A5C">
        <w:tc>
          <w:tcPr>
            <w:tcW w:w="354" w:type="dxa"/>
          </w:tcPr>
          <w:p w:rsidR="00B5355D" w:rsidRPr="0006591E" w:rsidRDefault="00B5355D" w:rsidP="00905A5C">
            <w:pPr>
              <w:pStyle w:val="StandardowytekstZnak"/>
            </w:pPr>
            <w:r w:rsidRPr="0006591E">
              <w:t>3.</w:t>
            </w:r>
          </w:p>
        </w:tc>
        <w:tc>
          <w:tcPr>
            <w:tcW w:w="1876" w:type="dxa"/>
          </w:tcPr>
          <w:p w:rsidR="00B5355D" w:rsidRPr="0006591E" w:rsidRDefault="00B5355D" w:rsidP="00905A5C">
            <w:pPr>
              <w:pStyle w:val="StandardowytekstZnak"/>
            </w:pPr>
            <w:r w:rsidRPr="0006591E">
              <w:t>PN-S-02205</w:t>
            </w:r>
          </w:p>
        </w:tc>
        <w:tc>
          <w:tcPr>
            <w:tcW w:w="7200" w:type="dxa"/>
          </w:tcPr>
          <w:p w:rsidR="00B5355D" w:rsidRPr="0006591E" w:rsidRDefault="00B5355D" w:rsidP="00905A5C">
            <w:pPr>
              <w:pStyle w:val="StandardowytekstZnak"/>
            </w:pPr>
            <w:r w:rsidRPr="0006591E">
              <w:t>Drogi samochodowe. Roboty ziemne. Wymagania i badania</w:t>
            </w:r>
          </w:p>
        </w:tc>
      </w:tr>
      <w:tr w:rsidR="00B5355D" w:rsidRPr="0006591E" w:rsidTr="00905A5C">
        <w:tc>
          <w:tcPr>
            <w:tcW w:w="354" w:type="dxa"/>
          </w:tcPr>
          <w:p w:rsidR="00B5355D" w:rsidRPr="0006591E" w:rsidRDefault="00B5355D" w:rsidP="00905A5C">
            <w:pPr>
              <w:pStyle w:val="StandardowytekstZnak"/>
            </w:pPr>
            <w:r w:rsidRPr="0006591E">
              <w:t>4.</w:t>
            </w:r>
          </w:p>
        </w:tc>
        <w:tc>
          <w:tcPr>
            <w:tcW w:w="1876" w:type="dxa"/>
          </w:tcPr>
          <w:p w:rsidR="00B5355D" w:rsidRPr="0006591E" w:rsidRDefault="00B5355D" w:rsidP="00905A5C">
            <w:pPr>
              <w:pStyle w:val="StandardowytekstZnak"/>
            </w:pPr>
            <w:r w:rsidRPr="0006591E">
              <w:t>BN-77/8931-12</w:t>
            </w:r>
          </w:p>
        </w:tc>
        <w:tc>
          <w:tcPr>
            <w:tcW w:w="7200" w:type="dxa"/>
          </w:tcPr>
          <w:p w:rsidR="00B5355D" w:rsidRPr="0006591E" w:rsidRDefault="00B5355D" w:rsidP="00905A5C">
            <w:pPr>
              <w:pStyle w:val="StandardowytekstZnak"/>
            </w:pPr>
            <w:r w:rsidRPr="0006591E">
              <w:t>Oznaczenie wskaźnika zagęszczenia gruntu</w:t>
            </w:r>
          </w:p>
        </w:tc>
      </w:tr>
    </w:tbl>
    <w:p w:rsidR="00B5355D" w:rsidRPr="0006591E" w:rsidRDefault="00B5355D" w:rsidP="00B5355D">
      <w:pPr>
        <w:pStyle w:val="tekstost"/>
        <w:rPr>
          <w:b/>
          <w:u w:val="single"/>
        </w:rPr>
      </w:pPr>
      <w:r w:rsidRPr="0006591E">
        <w:rPr>
          <w:b/>
          <w:u w:val="single"/>
        </w:rPr>
        <w:t>10.2. Inne dokumenty</w:t>
      </w:r>
    </w:p>
    <w:p w:rsidR="00B5355D" w:rsidRPr="0006591E" w:rsidRDefault="00B5355D" w:rsidP="00B5355D">
      <w:pPr>
        <w:pStyle w:val="StandardowytekstZnak"/>
        <w:numPr>
          <w:ilvl w:val="0"/>
          <w:numId w:val="9"/>
        </w:numPr>
        <w:tabs>
          <w:tab w:val="left" w:pos="426"/>
        </w:tabs>
      </w:pPr>
      <w:r w:rsidRPr="0006591E">
        <w:t xml:space="preserve">Instrukcja badań podłoża gruntowego budowli drogowych i mostowych, </w:t>
      </w:r>
      <w:proofErr w:type="spellStart"/>
      <w:r w:rsidRPr="0006591E">
        <w:t>GDDP,Warszawa</w:t>
      </w:r>
      <w:proofErr w:type="spellEnd"/>
      <w:r w:rsidRPr="0006591E">
        <w:t xml:space="preserve"> 1998.</w:t>
      </w:r>
    </w:p>
    <w:p w:rsidR="00B5355D" w:rsidRPr="0006591E" w:rsidRDefault="00B5355D" w:rsidP="00B5355D">
      <w:pPr>
        <w:pStyle w:val="StandardowytekstZnak"/>
        <w:numPr>
          <w:ilvl w:val="0"/>
          <w:numId w:val="9"/>
        </w:numPr>
        <w:tabs>
          <w:tab w:val="left" w:pos="426"/>
        </w:tabs>
      </w:pPr>
      <w:r w:rsidRPr="0006591E">
        <w:t xml:space="preserve">Katalog typowych konstrukcji nawierzchni podatnych i półsztywnych, </w:t>
      </w:r>
      <w:proofErr w:type="spellStart"/>
      <w:r w:rsidRPr="0006591E">
        <w:t>IBDiM</w:t>
      </w:r>
      <w:proofErr w:type="spellEnd"/>
      <w:r w:rsidRPr="0006591E">
        <w:t>, Warszawa 1997.</w:t>
      </w:r>
    </w:p>
    <w:p w:rsidR="00B561B6" w:rsidRDefault="00B5355D" w:rsidP="00B5355D">
      <w:r w:rsidRPr="0006591E">
        <w:t xml:space="preserve">Wytyczne wzmacniania podłoża gruntowego w budownictwie drogowym, </w:t>
      </w:r>
      <w:proofErr w:type="spellStart"/>
      <w:r w:rsidRPr="0006591E">
        <w:t>IBDiM</w:t>
      </w:r>
      <w:proofErr w:type="spellEnd"/>
      <w:r w:rsidRPr="0006591E">
        <w:t>, Warszawa 20</w:t>
      </w:r>
    </w:p>
    <w:sectPr w:rsidR="00B561B6" w:rsidSect="00842A9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A2DB0"/>
    <w:multiLevelType w:val="singleLevel"/>
    <w:tmpl w:val="D0E8CAEA"/>
    <w:lvl w:ilvl="0">
      <w:start w:val="1"/>
      <w:numFmt w:val="lowerLetter"/>
      <w:lvlText w:val="%1)"/>
      <w:lvlJc w:val="left"/>
      <w:pPr>
        <w:tabs>
          <w:tab w:val="num" w:pos="360"/>
        </w:tabs>
        <w:ind w:left="360" w:hanging="360"/>
      </w:pPr>
      <w:rPr>
        <w:b w:val="0"/>
        <w:i w:val="0"/>
      </w:rPr>
    </w:lvl>
  </w:abstractNum>
  <w:abstractNum w:abstractNumId="1">
    <w:nsid w:val="2B9E03A5"/>
    <w:multiLevelType w:val="hybridMultilevel"/>
    <w:tmpl w:val="14767714"/>
    <w:lvl w:ilvl="0" w:tplc="0464AE36">
      <w:start w:val="1"/>
      <w:numFmt w:val="bullet"/>
      <w:lvlText w:val=""/>
      <w:lvlJc w:val="left"/>
      <w:pPr>
        <w:tabs>
          <w:tab w:val="num" w:pos="3240"/>
        </w:tabs>
        <w:ind w:left="3240" w:hanging="360"/>
      </w:pPr>
      <w:rPr>
        <w:rFonts w:ascii="Symbol" w:hAnsi="Symbol" w:hint="default"/>
      </w:rPr>
    </w:lvl>
    <w:lvl w:ilvl="1" w:tplc="04150003" w:tentative="1">
      <w:start w:val="1"/>
      <w:numFmt w:val="bullet"/>
      <w:lvlText w:val="o"/>
      <w:lvlJc w:val="left"/>
      <w:pPr>
        <w:tabs>
          <w:tab w:val="num" w:pos="3960"/>
        </w:tabs>
        <w:ind w:left="3960" w:hanging="360"/>
      </w:pPr>
      <w:rPr>
        <w:rFonts w:ascii="Courier New" w:hAnsi="Courier New" w:cs="Courier New" w:hint="default"/>
      </w:rPr>
    </w:lvl>
    <w:lvl w:ilvl="2" w:tplc="04150005" w:tentative="1">
      <w:start w:val="1"/>
      <w:numFmt w:val="bullet"/>
      <w:lvlText w:val=""/>
      <w:lvlJc w:val="left"/>
      <w:pPr>
        <w:tabs>
          <w:tab w:val="num" w:pos="4680"/>
        </w:tabs>
        <w:ind w:left="4680" w:hanging="360"/>
      </w:pPr>
      <w:rPr>
        <w:rFonts w:ascii="Wingdings" w:hAnsi="Wingdings" w:hint="default"/>
      </w:rPr>
    </w:lvl>
    <w:lvl w:ilvl="3" w:tplc="04150001" w:tentative="1">
      <w:start w:val="1"/>
      <w:numFmt w:val="bullet"/>
      <w:lvlText w:val=""/>
      <w:lvlJc w:val="left"/>
      <w:pPr>
        <w:tabs>
          <w:tab w:val="num" w:pos="5400"/>
        </w:tabs>
        <w:ind w:left="5400" w:hanging="360"/>
      </w:pPr>
      <w:rPr>
        <w:rFonts w:ascii="Symbol" w:hAnsi="Symbol" w:hint="default"/>
      </w:rPr>
    </w:lvl>
    <w:lvl w:ilvl="4" w:tplc="04150003" w:tentative="1">
      <w:start w:val="1"/>
      <w:numFmt w:val="bullet"/>
      <w:lvlText w:val="o"/>
      <w:lvlJc w:val="left"/>
      <w:pPr>
        <w:tabs>
          <w:tab w:val="num" w:pos="6120"/>
        </w:tabs>
        <w:ind w:left="6120" w:hanging="360"/>
      </w:pPr>
      <w:rPr>
        <w:rFonts w:ascii="Courier New" w:hAnsi="Courier New" w:cs="Courier New" w:hint="default"/>
      </w:rPr>
    </w:lvl>
    <w:lvl w:ilvl="5" w:tplc="04150005" w:tentative="1">
      <w:start w:val="1"/>
      <w:numFmt w:val="bullet"/>
      <w:lvlText w:val=""/>
      <w:lvlJc w:val="left"/>
      <w:pPr>
        <w:tabs>
          <w:tab w:val="num" w:pos="6840"/>
        </w:tabs>
        <w:ind w:left="6840" w:hanging="360"/>
      </w:pPr>
      <w:rPr>
        <w:rFonts w:ascii="Wingdings" w:hAnsi="Wingdings" w:hint="default"/>
      </w:rPr>
    </w:lvl>
    <w:lvl w:ilvl="6" w:tplc="04150001" w:tentative="1">
      <w:start w:val="1"/>
      <w:numFmt w:val="bullet"/>
      <w:lvlText w:val=""/>
      <w:lvlJc w:val="left"/>
      <w:pPr>
        <w:tabs>
          <w:tab w:val="num" w:pos="7560"/>
        </w:tabs>
        <w:ind w:left="7560" w:hanging="360"/>
      </w:pPr>
      <w:rPr>
        <w:rFonts w:ascii="Symbol" w:hAnsi="Symbol" w:hint="default"/>
      </w:rPr>
    </w:lvl>
    <w:lvl w:ilvl="7" w:tplc="04150003" w:tentative="1">
      <w:start w:val="1"/>
      <w:numFmt w:val="bullet"/>
      <w:lvlText w:val="o"/>
      <w:lvlJc w:val="left"/>
      <w:pPr>
        <w:tabs>
          <w:tab w:val="num" w:pos="8280"/>
        </w:tabs>
        <w:ind w:left="8280" w:hanging="360"/>
      </w:pPr>
      <w:rPr>
        <w:rFonts w:ascii="Courier New" w:hAnsi="Courier New" w:cs="Courier New" w:hint="default"/>
      </w:rPr>
    </w:lvl>
    <w:lvl w:ilvl="8" w:tplc="04150005" w:tentative="1">
      <w:start w:val="1"/>
      <w:numFmt w:val="bullet"/>
      <w:lvlText w:val=""/>
      <w:lvlJc w:val="left"/>
      <w:pPr>
        <w:tabs>
          <w:tab w:val="num" w:pos="9000"/>
        </w:tabs>
        <w:ind w:left="9000" w:hanging="360"/>
      </w:pPr>
      <w:rPr>
        <w:rFonts w:ascii="Wingdings" w:hAnsi="Wingdings" w:hint="default"/>
      </w:rPr>
    </w:lvl>
  </w:abstractNum>
  <w:abstractNum w:abstractNumId="2">
    <w:nsid w:val="34D91790"/>
    <w:multiLevelType w:val="singleLevel"/>
    <w:tmpl w:val="FCAC12F4"/>
    <w:lvl w:ilvl="0">
      <w:start w:val="5"/>
      <w:numFmt w:val="decimal"/>
      <w:lvlText w:val="%1."/>
      <w:lvlJc w:val="left"/>
      <w:pPr>
        <w:tabs>
          <w:tab w:val="num" w:pos="360"/>
        </w:tabs>
        <w:ind w:left="360" w:hanging="360"/>
      </w:pPr>
      <w:rPr>
        <w:rFonts w:hint="default"/>
        <w:b w:val="0"/>
        <w:i w:val="0"/>
      </w:rPr>
    </w:lvl>
  </w:abstractNum>
  <w:abstractNum w:abstractNumId="3">
    <w:nsid w:val="4C504B63"/>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4">
    <w:nsid w:val="602B23A9"/>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5">
    <w:nsid w:val="60C529B9"/>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6">
    <w:nsid w:val="615374DC"/>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7">
    <w:nsid w:val="6687066B"/>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8">
    <w:nsid w:val="69D02C76"/>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9">
    <w:nsid w:val="79517948"/>
    <w:multiLevelType w:val="singleLevel"/>
    <w:tmpl w:val="D0E8CAEA"/>
    <w:lvl w:ilvl="0">
      <w:start w:val="1"/>
      <w:numFmt w:val="lowerLetter"/>
      <w:lvlText w:val="%1)"/>
      <w:lvlJc w:val="left"/>
      <w:pPr>
        <w:tabs>
          <w:tab w:val="num" w:pos="360"/>
        </w:tabs>
        <w:ind w:left="360" w:hanging="360"/>
      </w:pPr>
      <w:rPr>
        <w:b w:val="0"/>
        <w:i w:val="0"/>
      </w:rPr>
    </w:lvl>
  </w:abstractNum>
  <w:num w:numId="1">
    <w:abstractNumId w:val="9"/>
  </w:num>
  <w:num w:numId="2">
    <w:abstractNumId w:val="0"/>
  </w:num>
  <w:num w:numId="3">
    <w:abstractNumId w:val="8"/>
  </w:num>
  <w:num w:numId="4">
    <w:abstractNumId w:val="4"/>
  </w:num>
  <w:num w:numId="5">
    <w:abstractNumId w:val="5"/>
  </w:num>
  <w:num w:numId="6">
    <w:abstractNumId w:val="3"/>
  </w:num>
  <w:num w:numId="7">
    <w:abstractNumId w:val="6"/>
  </w:num>
  <w:num w:numId="8">
    <w:abstractNumId w:val="7"/>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53540"/>
    <w:rsid w:val="001A2B71"/>
    <w:rsid w:val="00553540"/>
    <w:rsid w:val="00842A98"/>
    <w:rsid w:val="00AB342F"/>
    <w:rsid w:val="00B5355D"/>
    <w:rsid w:val="00B561B6"/>
    <w:rsid w:val="00D85BD2"/>
    <w:rsid w:val="00DA57B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B5355D"/>
    <w:pPr>
      <w:spacing w:after="0" w:line="240" w:lineRule="auto"/>
    </w:pPr>
    <w:rPr>
      <w:rFonts w:ascii="Times New Roman" w:eastAsia="Times New Roman" w:hAnsi="Times New Roman" w:cs="Times New Roman"/>
      <w:sz w:val="24"/>
      <w:szCs w:val="24"/>
      <w:lang w:eastAsia="pl-PL"/>
    </w:rPr>
  </w:style>
  <w:style w:type="paragraph" w:styleId="Nagwek2">
    <w:name w:val="heading 2"/>
    <w:aliases w:val=" Znak6"/>
    <w:basedOn w:val="Normalny"/>
    <w:next w:val="Normalny"/>
    <w:link w:val="Nagwek2Znak"/>
    <w:qFormat/>
    <w:rsid w:val="00B5355D"/>
    <w:pPr>
      <w:keepNext/>
      <w:jc w:val="both"/>
      <w:outlineLvl w:val="1"/>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 Znak6 Znak"/>
    <w:basedOn w:val="Domylnaczcionkaakapitu"/>
    <w:link w:val="Nagwek2"/>
    <w:rsid w:val="00B5355D"/>
    <w:rPr>
      <w:rFonts w:ascii="Times New Roman" w:eastAsia="Times New Roman" w:hAnsi="Times New Roman" w:cs="Times New Roman"/>
      <w:b/>
      <w:sz w:val="20"/>
      <w:szCs w:val="20"/>
      <w:lang w:eastAsia="pl-PL"/>
    </w:rPr>
  </w:style>
  <w:style w:type="paragraph" w:customStyle="1" w:styleId="tekstost">
    <w:name w:val="tekst ost"/>
    <w:basedOn w:val="Normalny"/>
    <w:rsid w:val="00B5355D"/>
    <w:pPr>
      <w:jc w:val="both"/>
    </w:pPr>
    <w:rPr>
      <w:sz w:val="20"/>
      <w:szCs w:val="20"/>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rsid w:val="00B5355D"/>
    <w:pPr>
      <w:tabs>
        <w:tab w:val="left" w:pos="1008"/>
        <w:tab w:val="left" w:pos="7459"/>
      </w:tabs>
    </w:pPr>
    <w:rPr>
      <w:rFonts w:ascii="Arial" w:hAnsi="Arial"/>
      <w:b/>
      <w:snapToGrid w:val="0"/>
      <w:color w:val="000000"/>
      <w:szCs w:val="20"/>
    </w:rPr>
  </w:style>
  <w:style w:type="character" w:customStyle="1" w:styleId="TekstpodstawowyZnak">
    <w:name w:val="Tekst podstawowy Znak"/>
    <w:aliases w:val=" Znak9 Znak, Znak3 Znak Znak Znak Znak Znak Znak, Znak3 Znak Znak Znak Znak Znak Znak Zna Znak, Znak3 Znak Znak Znak Znak Znak1, Znak3 Znak Znak Znak Znak Znak Znak Znak Znak"/>
    <w:basedOn w:val="Domylnaczcionkaakapitu"/>
    <w:link w:val="Tekstpodstawowy"/>
    <w:rsid w:val="00B5355D"/>
    <w:rPr>
      <w:rFonts w:ascii="Arial" w:eastAsia="Times New Roman" w:hAnsi="Arial" w:cs="Times New Roman"/>
      <w:b/>
      <w:snapToGrid w:val="0"/>
      <w:color w:val="000000"/>
      <w:sz w:val="24"/>
      <w:szCs w:val="20"/>
      <w:lang w:eastAsia="pl-PL"/>
    </w:rPr>
  </w:style>
  <w:style w:type="paragraph" w:styleId="Tekstpodstawowy2">
    <w:name w:val="Body Text 2"/>
    <w:aliases w:val="Tekst podstawowy 22, Znak Znak7, Znak Znak8, Znak Znak41"/>
    <w:basedOn w:val="Normalny"/>
    <w:link w:val="Tekstpodstawowy2Znak"/>
    <w:rsid w:val="00B5355D"/>
    <w:pPr>
      <w:tabs>
        <w:tab w:val="left" w:pos="0"/>
        <w:tab w:val="right" w:pos="5766"/>
      </w:tabs>
      <w:spacing w:line="240" w:lineRule="atLeast"/>
    </w:pPr>
    <w:rPr>
      <w:rFonts w:ascii="Arial" w:hAnsi="Arial"/>
      <w:szCs w:val="20"/>
      <w:lang w:val="en-GB"/>
    </w:rPr>
  </w:style>
  <w:style w:type="character" w:customStyle="1" w:styleId="Tekstpodstawowy2Znak">
    <w:name w:val="Tekst podstawowy 2 Znak"/>
    <w:aliases w:val="Tekst podstawowy 22 Znak, Znak Znak7 Znak, Znak Znak8 Znak, Znak Znak41 Znak"/>
    <w:basedOn w:val="Domylnaczcionkaakapitu"/>
    <w:link w:val="Tekstpodstawowy2"/>
    <w:rsid w:val="00B5355D"/>
    <w:rPr>
      <w:rFonts w:ascii="Arial" w:eastAsia="Times New Roman" w:hAnsi="Arial" w:cs="Times New Roman"/>
      <w:sz w:val="24"/>
      <w:szCs w:val="20"/>
      <w:lang w:val="en-GB" w:eastAsia="pl-PL"/>
    </w:rPr>
  </w:style>
  <w:style w:type="paragraph" w:styleId="Tekstpodstawowy3">
    <w:name w:val="Body Text 3"/>
    <w:basedOn w:val="Normalny"/>
    <w:link w:val="Tekstpodstawowy3Znak"/>
    <w:rsid w:val="00B5355D"/>
    <w:pPr>
      <w:tabs>
        <w:tab w:val="left" w:pos="0"/>
        <w:tab w:val="right" w:pos="8809"/>
      </w:tabs>
      <w:jc w:val="both"/>
    </w:pPr>
    <w:rPr>
      <w:sz w:val="22"/>
      <w:szCs w:val="20"/>
    </w:rPr>
  </w:style>
  <w:style w:type="character" w:customStyle="1" w:styleId="Tekstpodstawowy3Znak">
    <w:name w:val="Tekst podstawowy 3 Znak"/>
    <w:basedOn w:val="Domylnaczcionkaakapitu"/>
    <w:link w:val="Tekstpodstawowy3"/>
    <w:rsid w:val="00B5355D"/>
    <w:rPr>
      <w:rFonts w:ascii="Times New Roman" w:eastAsia="Times New Roman" w:hAnsi="Times New Roman" w:cs="Times New Roman"/>
      <w:szCs w:val="20"/>
      <w:lang w:eastAsia="pl-PL"/>
    </w:rPr>
  </w:style>
  <w:style w:type="paragraph" w:styleId="Stopka">
    <w:name w:val="footer"/>
    <w:aliases w:val=" Znak2, Znak21"/>
    <w:basedOn w:val="Normalny"/>
    <w:link w:val="StopkaZnak"/>
    <w:rsid w:val="00B5355D"/>
    <w:pPr>
      <w:tabs>
        <w:tab w:val="center" w:pos="4536"/>
        <w:tab w:val="right" w:pos="9072"/>
      </w:tabs>
    </w:pPr>
    <w:rPr>
      <w:sz w:val="20"/>
      <w:szCs w:val="20"/>
    </w:rPr>
  </w:style>
  <w:style w:type="character" w:customStyle="1" w:styleId="StopkaZnak">
    <w:name w:val="Stopka Znak"/>
    <w:aliases w:val=" Znak2 Znak, Znak21 Znak"/>
    <w:basedOn w:val="Domylnaczcionkaakapitu"/>
    <w:link w:val="Stopka"/>
    <w:rsid w:val="00B5355D"/>
    <w:rPr>
      <w:rFonts w:ascii="Times New Roman" w:eastAsia="Times New Roman" w:hAnsi="Times New Roman" w:cs="Times New Roman"/>
      <w:sz w:val="20"/>
      <w:szCs w:val="20"/>
      <w:lang w:eastAsia="pl-PL"/>
    </w:rPr>
  </w:style>
  <w:style w:type="paragraph" w:styleId="Zwykytekst">
    <w:name w:val="Plain Text"/>
    <w:basedOn w:val="Normalny"/>
    <w:link w:val="ZwykytekstZnak"/>
    <w:rsid w:val="00B5355D"/>
    <w:rPr>
      <w:rFonts w:ascii="Courier New" w:hAnsi="Courier New"/>
      <w:sz w:val="20"/>
      <w:szCs w:val="20"/>
    </w:rPr>
  </w:style>
  <w:style w:type="character" w:customStyle="1" w:styleId="ZwykytekstZnak">
    <w:name w:val="Zwykły tekst Znak"/>
    <w:basedOn w:val="Domylnaczcionkaakapitu"/>
    <w:link w:val="Zwykytekst"/>
    <w:rsid w:val="00B5355D"/>
    <w:rPr>
      <w:rFonts w:ascii="Courier New" w:eastAsia="Times New Roman" w:hAnsi="Courier New" w:cs="Times New Roman"/>
      <w:sz w:val="20"/>
      <w:szCs w:val="20"/>
      <w:lang w:eastAsia="pl-PL"/>
    </w:rPr>
  </w:style>
  <w:style w:type="paragraph" w:customStyle="1" w:styleId="StylIwony">
    <w:name w:val="Styl Iwony"/>
    <w:basedOn w:val="Normalny"/>
    <w:uiPriority w:val="99"/>
    <w:rsid w:val="00B5355D"/>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Standardowytekst1">
    <w:name w:val="Standardowy.tekst1"/>
    <w:rsid w:val="00B5355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Asienka">
    <w:name w:val="Asienka"/>
    <w:basedOn w:val="Normalny"/>
    <w:autoRedefine/>
    <w:rsid w:val="00B5355D"/>
    <w:pPr>
      <w:ind w:left="-70"/>
    </w:pPr>
    <w:rPr>
      <w:sz w:val="20"/>
    </w:rPr>
  </w:style>
  <w:style w:type="paragraph" w:customStyle="1" w:styleId="StandardowytekstZnak">
    <w:name w:val="Standardowy.tekst Znak"/>
    <w:rsid w:val="00B5355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B5355D"/>
    <w:rPr>
      <w:rFonts w:ascii="Tahoma" w:hAnsi="Tahoma" w:cs="Tahoma"/>
      <w:sz w:val="16"/>
      <w:szCs w:val="16"/>
    </w:rPr>
  </w:style>
  <w:style w:type="character" w:customStyle="1" w:styleId="TekstdymkaZnak">
    <w:name w:val="Tekst dymka Znak"/>
    <w:basedOn w:val="Domylnaczcionkaakapitu"/>
    <w:link w:val="Tekstdymka"/>
    <w:uiPriority w:val="99"/>
    <w:semiHidden/>
    <w:rsid w:val="00B5355D"/>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B5355D"/>
    <w:pPr>
      <w:spacing w:after="0" w:line="240" w:lineRule="auto"/>
    </w:pPr>
    <w:rPr>
      <w:rFonts w:ascii="Times New Roman" w:eastAsia="Times New Roman" w:hAnsi="Times New Roman" w:cs="Times New Roman"/>
      <w:sz w:val="24"/>
      <w:szCs w:val="24"/>
      <w:lang w:eastAsia="pl-PL"/>
    </w:rPr>
  </w:style>
  <w:style w:type="paragraph" w:styleId="Nagwek2">
    <w:name w:val="heading 2"/>
    <w:aliases w:val=" Znak6"/>
    <w:basedOn w:val="Normalny"/>
    <w:next w:val="Normalny"/>
    <w:link w:val="Nagwek2Znak"/>
    <w:qFormat/>
    <w:rsid w:val="00B5355D"/>
    <w:pPr>
      <w:keepNext/>
      <w:jc w:val="both"/>
      <w:outlineLvl w:val="1"/>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 Znak6 Znak"/>
    <w:basedOn w:val="Domylnaczcionkaakapitu"/>
    <w:link w:val="Nagwek2"/>
    <w:rsid w:val="00B5355D"/>
    <w:rPr>
      <w:rFonts w:ascii="Times New Roman" w:eastAsia="Times New Roman" w:hAnsi="Times New Roman" w:cs="Times New Roman"/>
      <w:b/>
      <w:sz w:val="20"/>
      <w:szCs w:val="20"/>
      <w:lang w:eastAsia="pl-PL"/>
    </w:rPr>
  </w:style>
  <w:style w:type="paragraph" w:customStyle="1" w:styleId="tekstost">
    <w:name w:val="tekst ost"/>
    <w:basedOn w:val="Normalny"/>
    <w:rsid w:val="00B5355D"/>
    <w:pPr>
      <w:jc w:val="both"/>
    </w:pPr>
    <w:rPr>
      <w:sz w:val="20"/>
      <w:szCs w:val="20"/>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rsid w:val="00B5355D"/>
    <w:pPr>
      <w:tabs>
        <w:tab w:val="left" w:pos="1008"/>
        <w:tab w:val="left" w:pos="7459"/>
      </w:tabs>
    </w:pPr>
    <w:rPr>
      <w:rFonts w:ascii="Arial" w:hAnsi="Arial"/>
      <w:b/>
      <w:snapToGrid w:val="0"/>
      <w:color w:val="000000"/>
      <w:szCs w:val="20"/>
    </w:rPr>
  </w:style>
  <w:style w:type="character" w:customStyle="1" w:styleId="TekstpodstawowyZnak">
    <w:name w:val="Tekst podstawowy Znak"/>
    <w:aliases w:val=" Znak9 Znak, Znak3 Znak Znak Znak Znak Znak Znak, Znak3 Znak Znak Znak Znak Znak Znak Zna Znak, Znak3 Znak Znak Znak Znak Znak1, Znak3 Znak Znak Znak Znak Znak Znak Znak Znak"/>
    <w:basedOn w:val="Domylnaczcionkaakapitu"/>
    <w:link w:val="Tekstpodstawowy"/>
    <w:rsid w:val="00B5355D"/>
    <w:rPr>
      <w:rFonts w:ascii="Arial" w:eastAsia="Times New Roman" w:hAnsi="Arial" w:cs="Times New Roman"/>
      <w:b/>
      <w:snapToGrid w:val="0"/>
      <w:color w:val="000000"/>
      <w:sz w:val="24"/>
      <w:szCs w:val="20"/>
      <w:lang w:eastAsia="pl-PL"/>
    </w:rPr>
  </w:style>
  <w:style w:type="paragraph" w:styleId="Tekstpodstawowy2">
    <w:name w:val="Body Text 2"/>
    <w:aliases w:val="Tekst podstawowy 22, Znak Znak7, Znak Znak8, Znak Znak41"/>
    <w:basedOn w:val="Normalny"/>
    <w:link w:val="Tekstpodstawowy2Znak"/>
    <w:rsid w:val="00B5355D"/>
    <w:pPr>
      <w:tabs>
        <w:tab w:val="left" w:pos="0"/>
        <w:tab w:val="right" w:pos="5766"/>
      </w:tabs>
      <w:spacing w:line="240" w:lineRule="atLeast"/>
    </w:pPr>
    <w:rPr>
      <w:rFonts w:ascii="Arial" w:hAnsi="Arial"/>
      <w:szCs w:val="20"/>
      <w:lang w:val="en-GB"/>
    </w:rPr>
  </w:style>
  <w:style w:type="character" w:customStyle="1" w:styleId="Tekstpodstawowy2Znak">
    <w:name w:val="Tekst podstawowy 2 Znak"/>
    <w:aliases w:val="Tekst podstawowy 22 Znak, Znak Znak7 Znak, Znak Znak8 Znak, Znak Znak41 Znak"/>
    <w:basedOn w:val="Domylnaczcionkaakapitu"/>
    <w:link w:val="Tekstpodstawowy2"/>
    <w:rsid w:val="00B5355D"/>
    <w:rPr>
      <w:rFonts w:ascii="Arial" w:eastAsia="Times New Roman" w:hAnsi="Arial" w:cs="Times New Roman"/>
      <w:sz w:val="24"/>
      <w:szCs w:val="20"/>
      <w:lang w:val="en-GB" w:eastAsia="pl-PL"/>
    </w:rPr>
  </w:style>
  <w:style w:type="paragraph" w:styleId="Tekstpodstawowy3">
    <w:name w:val="Body Text 3"/>
    <w:basedOn w:val="Normalny"/>
    <w:link w:val="Tekstpodstawowy3Znak"/>
    <w:rsid w:val="00B5355D"/>
    <w:pPr>
      <w:tabs>
        <w:tab w:val="left" w:pos="0"/>
        <w:tab w:val="right" w:pos="8809"/>
      </w:tabs>
      <w:jc w:val="both"/>
    </w:pPr>
    <w:rPr>
      <w:sz w:val="22"/>
      <w:szCs w:val="20"/>
    </w:rPr>
  </w:style>
  <w:style w:type="character" w:customStyle="1" w:styleId="Tekstpodstawowy3Znak">
    <w:name w:val="Tekst podstawowy 3 Znak"/>
    <w:basedOn w:val="Domylnaczcionkaakapitu"/>
    <w:link w:val="Tekstpodstawowy3"/>
    <w:rsid w:val="00B5355D"/>
    <w:rPr>
      <w:rFonts w:ascii="Times New Roman" w:eastAsia="Times New Roman" w:hAnsi="Times New Roman" w:cs="Times New Roman"/>
      <w:szCs w:val="20"/>
      <w:lang w:eastAsia="pl-PL"/>
    </w:rPr>
  </w:style>
  <w:style w:type="paragraph" w:styleId="Stopka">
    <w:name w:val="footer"/>
    <w:aliases w:val=" Znak2, Znak21"/>
    <w:basedOn w:val="Normalny"/>
    <w:link w:val="StopkaZnak"/>
    <w:rsid w:val="00B5355D"/>
    <w:pPr>
      <w:tabs>
        <w:tab w:val="center" w:pos="4536"/>
        <w:tab w:val="right" w:pos="9072"/>
      </w:tabs>
    </w:pPr>
    <w:rPr>
      <w:sz w:val="20"/>
      <w:szCs w:val="20"/>
    </w:rPr>
  </w:style>
  <w:style w:type="character" w:customStyle="1" w:styleId="StopkaZnak">
    <w:name w:val="Stopka Znak"/>
    <w:aliases w:val=" Znak2 Znak, Znak21 Znak"/>
    <w:basedOn w:val="Domylnaczcionkaakapitu"/>
    <w:link w:val="Stopka"/>
    <w:rsid w:val="00B5355D"/>
    <w:rPr>
      <w:rFonts w:ascii="Times New Roman" w:eastAsia="Times New Roman" w:hAnsi="Times New Roman" w:cs="Times New Roman"/>
      <w:sz w:val="20"/>
      <w:szCs w:val="20"/>
      <w:lang w:eastAsia="pl-PL"/>
    </w:rPr>
  </w:style>
  <w:style w:type="paragraph" w:styleId="Zwykytekst">
    <w:name w:val="Plain Text"/>
    <w:basedOn w:val="Normalny"/>
    <w:link w:val="ZwykytekstZnak"/>
    <w:rsid w:val="00B5355D"/>
    <w:rPr>
      <w:rFonts w:ascii="Courier New" w:hAnsi="Courier New"/>
      <w:sz w:val="20"/>
      <w:szCs w:val="20"/>
    </w:rPr>
  </w:style>
  <w:style w:type="character" w:customStyle="1" w:styleId="ZwykytekstZnak">
    <w:name w:val="Zwykły tekst Znak"/>
    <w:basedOn w:val="Domylnaczcionkaakapitu"/>
    <w:link w:val="Zwykytekst"/>
    <w:rsid w:val="00B5355D"/>
    <w:rPr>
      <w:rFonts w:ascii="Courier New" w:eastAsia="Times New Roman" w:hAnsi="Courier New" w:cs="Times New Roman"/>
      <w:sz w:val="20"/>
      <w:szCs w:val="20"/>
      <w:lang w:eastAsia="pl-PL"/>
    </w:rPr>
  </w:style>
  <w:style w:type="paragraph" w:customStyle="1" w:styleId="StylIwony">
    <w:name w:val="Styl Iwony"/>
    <w:basedOn w:val="Normalny"/>
    <w:uiPriority w:val="99"/>
    <w:rsid w:val="00B5355D"/>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Standardowytekst1">
    <w:name w:val="Standardowy.tekst1"/>
    <w:rsid w:val="00B5355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Asienka">
    <w:name w:val="Asienka"/>
    <w:basedOn w:val="Normalny"/>
    <w:autoRedefine/>
    <w:rsid w:val="00B5355D"/>
    <w:pPr>
      <w:ind w:left="-70"/>
    </w:pPr>
    <w:rPr>
      <w:sz w:val="20"/>
    </w:rPr>
  </w:style>
  <w:style w:type="paragraph" w:customStyle="1" w:styleId="StandardowytekstZnak">
    <w:name w:val="Standardowy.tekst Znak"/>
    <w:rsid w:val="00B5355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B5355D"/>
    <w:rPr>
      <w:rFonts w:ascii="Tahoma" w:hAnsi="Tahoma" w:cs="Tahoma"/>
      <w:sz w:val="16"/>
      <w:szCs w:val="16"/>
    </w:rPr>
  </w:style>
  <w:style w:type="character" w:customStyle="1" w:styleId="TekstdymkaZnak">
    <w:name w:val="Tekst dymka Znak"/>
    <w:basedOn w:val="Domylnaczcionkaakapitu"/>
    <w:link w:val="Tekstdymka"/>
    <w:uiPriority w:val="99"/>
    <w:semiHidden/>
    <w:rsid w:val="00B5355D"/>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divs>
    <w:div w:id="765033756">
      <w:bodyDiv w:val="1"/>
      <w:marLeft w:val="0"/>
      <w:marRight w:val="0"/>
      <w:marTop w:val="0"/>
      <w:marBottom w:val="0"/>
      <w:divBdr>
        <w:top w:val="none" w:sz="0" w:space="0" w:color="auto"/>
        <w:left w:val="none" w:sz="0" w:space="0" w:color="auto"/>
        <w:bottom w:val="none" w:sz="0" w:space="0" w:color="auto"/>
        <w:right w:val="none" w:sz="0" w:space="0" w:color="auto"/>
      </w:divBdr>
    </w:div>
    <w:div w:id="161582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3250</Words>
  <Characters>19503</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Urząd Miejski Radomyśl Wielki</Company>
  <LinksUpToDate>false</LinksUpToDate>
  <CharactersWithSpaces>22708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Skop</dc:creator>
  <cp:keywords/>
  <dc:description/>
  <cp:lastModifiedBy>Skop</cp:lastModifiedBy>
  <cp:revision>7</cp:revision>
  <dcterms:created xsi:type="dcterms:W3CDTF">2012-08-20T09:54:00Z</dcterms:created>
  <dcterms:modified xsi:type="dcterms:W3CDTF">2014-03-10T12:03:00Z</dcterms:modified>
</cp:coreProperties>
</file>