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726" w:rsidRDefault="000D7726">
      <w:pPr>
        <w:pStyle w:val="Tytu"/>
        <w:rPr>
          <w:rFonts w:ascii="Verdana" w:hAnsi="Verdana"/>
          <w:sz w:val="20"/>
          <w:szCs w:val="20"/>
        </w:rPr>
      </w:pPr>
    </w:p>
    <w:p w:rsidR="000D7726" w:rsidRDefault="00456F5F">
      <w:pPr>
        <w:pStyle w:val="Tytu"/>
        <w:rPr>
          <w:rFonts w:ascii="Arial" w:hAnsi="Arial" w:cs="Arial"/>
          <w:sz w:val="20"/>
          <w:szCs w:val="20"/>
        </w:rPr>
      </w:pPr>
      <w:r>
        <w:rPr>
          <w:rFonts w:ascii="Arial" w:hAnsi="Arial" w:cs="Arial"/>
          <w:sz w:val="20"/>
          <w:szCs w:val="20"/>
        </w:rPr>
        <w:t>SPECYFIKACJA TECHNICZNA WYKONANIA i ODBIORU ROBÓT BUDOWLANYCH</w:t>
      </w:r>
    </w:p>
    <w:p w:rsidR="000D7726" w:rsidRDefault="000D7726">
      <w:pPr>
        <w:tabs>
          <w:tab w:val="right" w:pos="9072"/>
        </w:tabs>
        <w:jc w:val="center"/>
        <w:rPr>
          <w:rFonts w:ascii="Arial" w:hAnsi="Arial" w:cs="Arial"/>
        </w:rPr>
      </w:pPr>
    </w:p>
    <w:p w:rsidR="000D7726" w:rsidRDefault="00456F5F">
      <w:pPr>
        <w:pStyle w:val="Nagwek6"/>
        <w:rPr>
          <w:rFonts w:ascii="Arial" w:hAnsi="Arial" w:cs="Arial"/>
          <w:sz w:val="20"/>
        </w:rPr>
      </w:pPr>
      <w:r>
        <w:rPr>
          <w:rFonts w:ascii="Arial" w:hAnsi="Arial" w:cs="Arial"/>
          <w:sz w:val="20"/>
        </w:rPr>
        <w:t>D</w:t>
      </w:r>
      <w:r w:rsidR="0054454C">
        <w:rPr>
          <w:rFonts w:ascii="Arial" w:hAnsi="Arial" w:cs="Arial"/>
          <w:sz w:val="20"/>
        </w:rPr>
        <w:t>.</w:t>
      </w:r>
      <w:r>
        <w:rPr>
          <w:rFonts w:ascii="Arial" w:hAnsi="Arial" w:cs="Arial"/>
          <w:sz w:val="20"/>
        </w:rPr>
        <w:t>02.01.01 WYKONANIE WYKOPÓW W GRUNTACH I-V KATEGORII</w:t>
      </w:r>
    </w:p>
    <w:p w:rsidR="000D7726" w:rsidRDefault="000D7726">
      <w:pPr>
        <w:jc w:val="center"/>
        <w:rPr>
          <w:rFonts w:ascii="Arial" w:hAnsi="Arial" w:cs="Arial"/>
          <w:b/>
        </w:rPr>
      </w:pPr>
    </w:p>
    <w:p w:rsidR="000D7726" w:rsidRDefault="00456F5F">
      <w:pPr>
        <w:pStyle w:val="Nagwek1"/>
        <w:numPr>
          <w:ilvl w:val="0"/>
          <w:numId w:val="29"/>
        </w:numPr>
        <w:tabs>
          <w:tab w:val="clear" w:pos="720"/>
          <w:tab w:val="num" w:pos="284"/>
        </w:tabs>
        <w:ind w:hanging="720"/>
        <w:jc w:val="both"/>
        <w:rPr>
          <w:rFonts w:ascii="Arial" w:hAnsi="Arial" w:cs="Arial"/>
          <w:b/>
          <w:bCs/>
          <w:sz w:val="18"/>
          <w:szCs w:val="18"/>
        </w:rPr>
      </w:pPr>
      <w:bookmarkStart w:id="0" w:name="_Toc404150096"/>
      <w:bookmarkStart w:id="1" w:name="_Toc407161213"/>
      <w:bookmarkStart w:id="2" w:name="_Toc418994925"/>
      <w:bookmarkStart w:id="3" w:name="_Toc418996332"/>
      <w:bookmarkStart w:id="4" w:name="_Toc418996701"/>
      <w:bookmarkStart w:id="5" w:name="_Toc418997088"/>
      <w:bookmarkStart w:id="6" w:name="_Toc418998498"/>
      <w:bookmarkStart w:id="7" w:name="_Toc418998854"/>
      <w:bookmarkStart w:id="8" w:name="_Toc419000099"/>
      <w:r>
        <w:rPr>
          <w:rFonts w:ascii="Arial" w:hAnsi="Arial" w:cs="Arial"/>
          <w:b/>
          <w:bCs/>
          <w:sz w:val="18"/>
          <w:szCs w:val="18"/>
        </w:rPr>
        <w:t>WSTĘP</w:t>
      </w:r>
      <w:bookmarkEnd w:id="0"/>
      <w:bookmarkEnd w:id="1"/>
      <w:bookmarkEnd w:id="2"/>
      <w:bookmarkEnd w:id="3"/>
      <w:bookmarkEnd w:id="4"/>
      <w:bookmarkEnd w:id="5"/>
      <w:bookmarkEnd w:id="6"/>
      <w:bookmarkEnd w:id="7"/>
      <w:bookmarkEnd w:id="8"/>
    </w:p>
    <w:p w:rsidR="000D7726" w:rsidRDefault="000D7726">
      <w:pPr>
        <w:rPr>
          <w:rFonts w:ascii="Arial" w:hAnsi="Arial" w:cs="Arial"/>
          <w:sz w:val="18"/>
          <w:szCs w:val="18"/>
        </w:rPr>
      </w:pPr>
    </w:p>
    <w:p w:rsidR="000D7726" w:rsidRDefault="00456F5F">
      <w:pPr>
        <w:pStyle w:val="Nagwek2"/>
        <w:jc w:val="both"/>
        <w:rPr>
          <w:rFonts w:ascii="Arial" w:hAnsi="Arial" w:cs="Arial"/>
          <w:sz w:val="18"/>
          <w:szCs w:val="18"/>
        </w:rPr>
      </w:pPr>
      <w:bookmarkStart w:id="9" w:name="_Toc407161214"/>
      <w:r>
        <w:rPr>
          <w:rFonts w:ascii="Arial" w:hAnsi="Arial" w:cs="Arial"/>
          <w:sz w:val="18"/>
          <w:szCs w:val="18"/>
        </w:rPr>
        <w:t>1.1. Przedmiot STWiORB</w:t>
      </w:r>
      <w:bookmarkEnd w:id="9"/>
    </w:p>
    <w:p w:rsidR="000D7726" w:rsidRDefault="00456F5F">
      <w:pPr>
        <w:pStyle w:val="Tekstpodstawowywcity3"/>
        <w:spacing w:line="120" w:lineRule="atLeast"/>
        <w:ind w:firstLine="567"/>
        <w:jc w:val="both"/>
        <w:rPr>
          <w:rFonts w:ascii="Arial" w:hAnsi="Arial" w:cs="Arial"/>
          <w:sz w:val="18"/>
          <w:szCs w:val="18"/>
        </w:rPr>
      </w:pPr>
      <w:r>
        <w:rPr>
          <w:rFonts w:ascii="Arial" w:hAnsi="Arial" w:cs="Arial"/>
          <w:b w:val="0"/>
          <w:bCs w:val="0"/>
          <w:sz w:val="18"/>
          <w:szCs w:val="18"/>
        </w:rPr>
        <w:t>Przedmiotem niniejszej specyfikacji technicznej wykonania i odbioru robót budowlanych są wymagania dotyczące wykonania  i odbioru wykopów w gruntach I-V kategorii w ramach zadania pt.:</w:t>
      </w:r>
      <w:r>
        <w:rPr>
          <w:rFonts w:ascii="Arial" w:hAnsi="Arial" w:cs="Arial"/>
          <w:sz w:val="18"/>
          <w:szCs w:val="18"/>
        </w:rPr>
        <w:t xml:space="preserve"> </w:t>
      </w:r>
    </w:p>
    <w:p w:rsidR="000D7726" w:rsidRDefault="00DE76BB">
      <w:pPr>
        <w:spacing w:before="120"/>
        <w:jc w:val="both"/>
        <w:rPr>
          <w:rFonts w:ascii="Arial" w:hAnsi="Arial" w:cs="Arial"/>
          <w:sz w:val="18"/>
          <w:szCs w:val="18"/>
        </w:rPr>
      </w:pPr>
      <w:r w:rsidRPr="00DE76BB">
        <w:rPr>
          <w:rFonts w:ascii="Arial" w:hAnsi="Arial" w:cs="Arial"/>
          <w:b/>
          <w:sz w:val="18"/>
          <w:szCs w:val="18"/>
        </w:rPr>
        <w:t>„</w:t>
      </w:r>
      <w:r w:rsidR="00B24893" w:rsidRPr="00B24893">
        <w:rPr>
          <w:rFonts w:ascii="Arial" w:hAnsi="Arial" w:cs="Arial"/>
          <w:b/>
          <w:sz w:val="18"/>
          <w:szCs w:val="18"/>
        </w:rPr>
        <w:t>„Przebudowa drogi gminnej nr 103 577R Partynia p. wieś  polegająca na budowie chodnika dla pieszych w jej pasie drogowym na odcinku 350m”</w:t>
      </w:r>
      <w:bookmarkStart w:id="10" w:name="_GoBack"/>
      <w:bookmarkEnd w:id="10"/>
      <w:r w:rsidRPr="00DE76BB">
        <w:rPr>
          <w:rFonts w:ascii="Arial" w:hAnsi="Arial" w:cs="Arial"/>
          <w:b/>
          <w:sz w:val="18"/>
          <w:szCs w:val="18"/>
        </w:rPr>
        <w:t>”</w:t>
      </w:r>
      <w:r w:rsidR="00456F5F">
        <w:rPr>
          <w:rFonts w:ascii="Arial" w:hAnsi="Arial" w:cs="Arial"/>
          <w:b/>
          <w:sz w:val="18"/>
          <w:szCs w:val="18"/>
        </w:rPr>
        <w:t>.</w:t>
      </w:r>
    </w:p>
    <w:p w:rsidR="000D7726" w:rsidRDefault="00456F5F">
      <w:pPr>
        <w:tabs>
          <w:tab w:val="left" w:pos="1845"/>
        </w:tabs>
        <w:jc w:val="both"/>
        <w:rPr>
          <w:rFonts w:ascii="Arial" w:hAnsi="Arial" w:cs="Arial"/>
          <w:sz w:val="18"/>
          <w:szCs w:val="18"/>
        </w:rPr>
      </w:pPr>
      <w:r>
        <w:rPr>
          <w:rFonts w:ascii="Arial" w:hAnsi="Arial" w:cs="Arial"/>
          <w:sz w:val="18"/>
          <w:szCs w:val="18"/>
        </w:rPr>
        <w:tab/>
      </w:r>
    </w:p>
    <w:p w:rsidR="000D7726" w:rsidRDefault="00456F5F">
      <w:pPr>
        <w:pStyle w:val="Nagwek2"/>
        <w:jc w:val="left"/>
        <w:rPr>
          <w:rFonts w:ascii="Arial" w:hAnsi="Arial" w:cs="Arial"/>
          <w:sz w:val="18"/>
          <w:szCs w:val="18"/>
        </w:rPr>
      </w:pPr>
      <w:bookmarkStart w:id="11" w:name="_Toc407161215"/>
      <w:r>
        <w:rPr>
          <w:rFonts w:ascii="Arial" w:hAnsi="Arial" w:cs="Arial"/>
          <w:sz w:val="18"/>
          <w:szCs w:val="18"/>
        </w:rPr>
        <w:t>1.2. Zakres stosowania STWiORB</w:t>
      </w:r>
      <w:bookmarkEnd w:id="11"/>
    </w:p>
    <w:p w:rsidR="000D7726" w:rsidRDefault="00456F5F">
      <w:pPr>
        <w:spacing w:line="120" w:lineRule="atLeast"/>
        <w:ind w:firstLine="567"/>
        <w:jc w:val="both"/>
        <w:rPr>
          <w:rFonts w:ascii="Arial" w:hAnsi="Arial" w:cs="Arial"/>
          <w:sz w:val="18"/>
          <w:szCs w:val="18"/>
        </w:rPr>
      </w:pPr>
      <w:r>
        <w:rPr>
          <w:rFonts w:ascii="Arial" w:hAnsi="Arial" w:cs="Arial"/>
          <w:sz w:val="18"/>
          <w:szCs w:val="18"/>
        </w:rPr>
        <w:t>STWiORB jest stosowana jako dokument przetargowy i kontraktowy przy zlecaniu  i realizacji robót wymienionych w p.1.1.</w:t>
      </w:r>
    </w:p>
    <w:p w:rsidR="000D7726" w:rsidRDefault="000D7726">
      <w:pPr>
        <w:spacing w:line="120" w:lineRule="atLeast"/>
        <w:jc w:val="both"/>
        <w:rPr>
          <w:rFonts w:ascii="Arial" w:hAnsi="Arial" w:cs="Arial"/>
          <w:sz w:val="18"/>
          <w:szCs w:val="18"/>
        </w:rPr>
      </w:pPr>
    </w:p>
    <w:p w:rsidR="000D7726" w:rsidRDefault="00456F5F">
      <w:pPr>
        <w:pStyle w:val="Nagwek2"/>
        <w:jc w:val="left"/>
        <w:rPr>
          <w:rFonts w:ascii="Arial" w:hAnsi="Arial" w:cs="Arial"/>
          <w:sz w:val="18"/>
          <w:szCs w:val="18"/>
        </w:rPr>
      </w:pPr>
      <w:bookmarkStart w:id="12" w:name="_Toc407161216"/>
      <w:r>
        <w:rPr>
          <w:rFonts w:ascii="Arial" w:hAnsi="Arial" w:cs="Arial"/>
          <w:sz w:val="18"/>
          <w:szCs w:val="18"/>
        </w:rPr>
        <w:t>1.3. Zakres robót objętych STWiORB</w:t>
      </w:r>
      <w:bookmarkEnd w:id="12"/>
    </w:p>
    <w:p w:rsidR="000D7726" w:rsidRDefault="00456F5F">
      <w:pPr>
        <w:pStyle w:val="Tekstpodstawowy21"/>
        <w:ind w:left="0" w:firstLine="567"/>
        <w:rPr>
          <w:rFonts w:ascii="Arial" w:hAnsi="Arial" w:cs="Arial"/>
          <w:sz w:val="18"/>
          <w:szCs w:val="18"/>
        </w:rPr>
      </w:pPr>
      <w:r>
        <w:rPr>
          <w:rFonts w:ascii="Arial" w:hAnsi="Arial" w:cs="Arial"/>
          <w:sz w:val="18"/>
          <w:szCs w:val="18"/>
        </w:rPr>
        <w:t>Ustalenia zawarte w niniejszej specyfikacji dotyczą zasad prowadzenia robót ziemnych i obejmują wykonanie mechanicznie wykopów w gruntach kategorii I-V.</w:t>
      </w:r>
    </w:p>
    <w:p w:rsidR="000D7726" w:rsidRDefault="000D7726">
      <w:pPr>
        <w:jc w:val="both"/>
        <w:rPr>
          <w:rFonts w:ascii="Arial" w:hAnsi="Arial" w:cs="Arial"/>
          <w:sz w:val="18"/>
          <w:szCs w:val="18"/>
        </w:rPr>
      </w:pPr>
    </w:p>
    <w:p w:rsidR="000D7726" w:rsidRDefault="00456F5F">
      <w:pPr>
        <w:pStyle w:val="Nagwek2"/>
        <w:jc w:val="left"/>
        <w:rPr>
          <w:rFonts w:ascii="Arial" w:hAnsi="Arial" w:cs="Arial"/>
          <w:sz w:val="18"/>
          <w:szCs w:val="18"/>
        </w:rPr>
      </w:pPr>
      <w:bookmarkStart w:id="13" w:name="_Toc407161217"/>
      <w:r>
        <w:rPr>
          <w:rFonts w:ascii="Arial" w:hAnsi="Arial" w:cs="Arial"/>
          <w:sz w:val="18"/>
          <w:szCs w:val="18"/>
        </w:rPr>
        <w:t>1.4. Określenia podstawowe</w:t>
      </w:r>
      <w:bookmarkEnd w:id="13"/>
    </w:p>
    <w:p w:rsidR="000D7726" w:rsidRDefault="00456F5F">
      <w:pPr>
        <w:tabs>
          <w:tab w:val="left" w:pos="709"/>
        </w:tabs>
        <w:ind w:left="567" w:hanging="567"/>
        <w:jc w:val="both"/>
        <w:rPr>
          <w:rFonts w:ascii="Arial" w:hAnsi="Arial" w:cs="Arial"/>
          <w:sz w:val="18"/>
          <w:szCs w:val="18"/>
          <w:u w:val="single"/>
        </w:rPr>
      </w:pPr>
      <w:r>
        <w:rPr>
          <w:rFonts w:ascii="Arial" w:hAnsi="Arial" w:cs="Arial"/>
          <w:b/>
          <w:sz w:val="18"/>
          <w:szCs w:val="18"/>
        </w:rPr>
        <w:t xml:space="preserve">1.4.1. </w:t>
      </w:r>
      <w:r>
        <w:rPr>
          <w:rFonts w:ascii="Arial" w:hAnsi="Arial" w:cs="Arial"/>
          <w:sz w:val="18"/>
          <w:szCs w:val="18"/>
        </w:rPr>
        <w:t>Budowla ziemna – budowla wykonana w gruncie lub z gruntu albo rozdrobnionych odpadów przemysłowych, spełniająca warunki stateczności i odwodnienia.</w:t>
      </w:r>
    </w:p>
    <w:p w:rsidR="000D7726" w:rsidRDefault="00456F5F">
      <w:pPr>
        <w:numPr>
          <w:ilvl w:val="2"/>
          <w:numId w:val="29"/>
        </w:numPr>
        <w:tabs>
          <w:tab w:val="clear" w:pos="1080"/>
          <w:tab w:val="left" w:pos="567"/>
          <w:tab w:val="num" w:pos="709"/>
        </w:tabs>
        <w:ind w:hanging="1080"/>
        <w:jc w:val="both"/>
        <w:rPr>
          <w:rFonts w:ascii="Arial" w:hAnsi="Arial" w:cs="Arial"/>
          <w:sz w:val="18"/>
          <w:szCs w:val="18"/>
        </w:rPr>
      </w:pPr>
      <w:r>
        <w:rPr>
          <w:rFonts w:ascii="Arial" w:hAnsi="Arial" w:cs="Arial"/>
          <w:sz w:val="18"/>
          <w:szCs w:val="18"/>
        </w:rPr>
        <w:t xml:space="preserve">Korpus drogowy – nasyp lub ta część wykopu, która jest ograniczona koroną drogi </w:t>
      </w:r>
    </w:p>
    <w:p w:rsidR="000D7726" w:rsidRDefault="00456F5F">
      <w:pPr>
        <w:numPr>
          <w:ilvl w:val="12"/>
          <w:numId w:val="0"/>
        </w:numPr>
        <w:jc w:val="both"/>
        <w:rPr>
          <w:rFonts w:ascii="Arial" w:hAnsi="Arial" w:cs="Arial"/>
          <w:sz w:val="18"/>
          <w:szCs w:val="18"/>
        </w:rPr>
      </w:pPr>
      <w:r>
        <w:rPr>
          <w:rFonts w:ascii="Arial" w:hAnsi="Arial" w:cs="Arial"/>
          <w:sz w:val="18"/>
          <w:szCs w:val="18"/>
        </w:rPr>
        <w:t xml:space="preserve">            i skarpami rowów.</w:t>
      </w:r>
    </w:p>
    <w:p w:rsidR="000D7726" w:rsidRDefault="00456F5F">
      <w:pPr>
        <w:numPr>
          <w:ilvl w:val="2"/>
          <w:numId w:val="29"/>
        </w:numPr>
        <w:tabs>
          <w:tab w:val="clear" w:pos="1080"/>
          <w:tab w:val="left" w:pos="567"/>
          <w:tab w:val="num" w:pos="709"/>
        </w:tabs>
        <w:ind w:hanging="1080"/>
        <w:jc w:val="both"/>
        <w:rPr>
          <w:rFonts w:ascii="Arial" w:hAnsi="Arial" w:cs="Arial"/>
          <w:sz w:val="18"/>
          <w:szCs w:val="18"/>
        </w:rPr>
      </w:pPr>
      <w:r>
        <w:rPr>
          <w:rFonts w:ascii="Arial" w:hAnsi="Arial" w:cs="Arial"/>
          <w:sz w:val="18"/>
          <w:szCs w:val="18"/>
        </w:rPr>
        <w:t>Głębokość wykopu</w:t>
      </w:r>
      <w:r>
        <w:rPr>
          <w:rFonts w:ascii="Arial" w:hAnsi="Arial" w:cs="Arial"/>
          <w:sz w:val="18"/>
          <w:szCs w:val="18"/>
          <w:u w:val="single"/>
        </w:rPr>
        <w:t xml:space="preserve"> </w:t>
      </w:r>
      <w:r>
        <w:rPr>
          <w:rFonts w:ascii="Arial" w:hAnsi="Arial" w:cs="Arial"/>
          <w:sz w:val="18"/>
          <w:szCs w:val="18"/>
        </w:rPr>
        <w:t>– różnica rzędnej terenu i rzędnej robót ziemnych, wyznaczonych w osi  wykopu.</w:t>
      </w:r>
    </w:p>
    <w:p w:rsidR="000D7726" w:rsidRDefault="00456F5F">
      <w:pPr>
        <w:numPr>
          <w:ilvl w:val="2"/>
          <w:numId w:val="29"/>
        </w:numPr>
        <w:tabs>
          <w:tab w:val="clear" w:pos="1080"/>
          <w:tab w:val="left" w:pos="567"/>
          <w:tab w:val="num" w:pos="709"/>
        </w:tabs>
        <w:ind w:left="720"/>
        <w:jc w:val="both"/>
        <w:rPr>
          <w:rFonts w:ascii="Arial" w:hAnsi="Arial" w:cs="Arial"/>
          <w:sz w:val="18"/>
          <w:szCs w:val="18"/>
        </w:rPr>
      </w:pPr>
      <w:r>
        <w:rPr>
          <w:rFonts w:ascii="Arial" w:hAnsi="Arial" w:cs="Arial"/>
          <w:sz w:val="18"/>
          <w:szCs w:val="18"/>
        </w:rPr>
        <w:t xml:space="preserve"> Wykop płytki – wykop, którego głębokość jest mniejsza niż 1 m.</w:t>
      </w:r>
    </w:p>
    <w:p w:rsidR="000D7726" w:rsidRDefault="00456F5F">
      <w:pPr>
        <w:numPr>
          <w:ilvl w:val="2"/>
          <w:numId w:val="29"/>
        </w:numPr>
        <w:tabs>
          <w:tab w:val="clear" w:pos="1080"/>
          <w:tab w:val="left" w:pos="567"/>
          <w:tab w:val="num" w:pos="709"/>
        </w:tabs>
        <w:ind w:left="720"/>
        <w:jc w:val="both"/>
        <w:rPr>
          <w:rFonts w:ascii="Arial" w:hAnsi="Arial" w:cs="Arial"/>
          <w:sz w:val="18"/>
          <w:szCs w:val="18"/>
        </w:rPr>
      </w:pPr>
      <w:r>
        <w:rPr>
          <w:rFonts w:ascii="Arial" w:hAnsi="Arial" w:cs="Arial"/>
          <w:sz w:val="18"/>
          <w:szCs w:val="18"/>
        </w:rPr>
        <w:t xml:space="preserve"> Wykop średni – wykop, którego głębokość jest zawarta w granicach od  1  do  3 m.</w:t>
      </w:r>
    </w:p>
    <w:p w:rsidR="000D7726" w:rsidRDefault="00456F5F">
      <w:pPr>
        <w:numPr>
          <w:ilvl w:val="2"/>
          <w:numId w:val="29"/>
        </w:numPr>
        <w:tabs>
          <w:tab w:val="clear" w:pos="1080"/>
          <w:tab w:val="left" w:pos="567"/>
          <w:tab w:val="num" w:pos="709"/>
        </w:tabs>
        <w:ind w:left="720"/>
        <w:jc w:val="both"/>
        <w:rPr>
          <w:rFonts w:ascii="Arial" w:hAnsi="Arial" w:cs="Arial"/>
          <w:sz w:val="18"/>
          <w:szCs w:val="18"/>
        </w:rPr>
      </w:pPr>
      <w:r>
        <w:rPr>
          <w:rFonts w:ascii="Arial" w:hAnsi="Arial" w:cs="Arial"/>
          <w:sz w:val="18"/>
          <w:szCs w:val="18"/>
        </w:rPr>
        <w:t xml:space="preserve"> Wykop głęboki – wykop, którego głębokość przekracza 3 m.</w:t>
      </w:r>
    </w:p>
    <w:p w:rsidR="000D7726" w:rsidRDefault="00456F5F">
      <w:pPr>
        <w:jc w:val="both"/>
        <w:rPr>
          <w:rFonts w:ascii="Arial" w:hAnsi="Arial" w:cs="Arial"/>
          <w:b/>
          <w:sz w:val="18"/>
          <w:szCs w:val="18"/>
        </w:rPr>
      </w:pPr>
      <w:r>
        <w:rPr>
          <w:rFonts w:ascii="Arial" w:hAnsi="Arial" w:cs="Arial"/>
          <w:b/>
          <w:sz w:val="18"/>
          <w:szCs w:val="18"/>
        </w:rPr>
        <w:t>1.4.7.</w:t>
      </w:r>
      <w:r>
        <w:rPr>
          <w:rFonts w:ascii="Arial" w:hAnsi="Arial" w:cs="Arial"/>
          <w:sz w:val="18"/>
          <w:szCs w:val="18"/>
        </w:rPr>
        <w:t xml:space="preserve">   Rów</w:t>
      </w:r>
      <w:r>
        <w:rPr>
          <w:rFonts w:ascii="Arial" w:hAnsi="Arial" w:cs="Arial"/>
          <w:b/>
          <w:sz w:val="18"/>
          <w:szCs w:val="18"/>
        </w:rPr>
        <w:t xml:space="preserve"> -</w:t>
      </w:r>
      <w:r>
        <w:rPr>
          <w:rFonts w:ascii="Arial" w:hAnsi="Arial" w:cs="Arial"/>
          <w:sz w:val="18"/>
          <w:szCs w:val="18"/>
        </w:rPr>
        <w:t xml:space="preserve"> otwarty wykop który zbiera i odprowadza wodę.</w:t>
      </w:r>
    </w:p>
    <w:p w:rsidR="000D7726" w:rsidRDefault="00456F5F">
      <w:pPr>
        <w:jc w:val="both"/>
        <w:rPr>
          <w:rFonts w:ascii="Arial" w:hAnsi="Arial" w:cs="Arial"/>
          <w:b/>
          <w:sz w:val="18"/>
          <w:szCs w:val="18"/>
        </w:rPr>
      </w:pPr>
      <w:r>
        <w:rPr>
          <w:rFonts w:ascii="Arial" w:hAnsi="Arial" w:cs="Arial"/>
          <w:b/>
          <w:sz w:val="18"/>
          <w:szCs w:val="18"/>
        </w:rPr>
        <w:t xml:space="preserve">1.4.8.   </w:t>
      </w:r>
      <w:r>
        <w:rPr>
          <w:rFonts w:ascii="Arial" w:hAnsi="Arial" w:cs="Arial"/>
          <w:sz w:val="18"/>
          <w:szCs w:val="18"/>
        </w:rPr>
        <w:t>Rów przydrożny - rów zbierający wodę z korony drogi.</w:t>
      </w:r>
    </w:p>
    <w:p w:rsidR="000D7726" w:rsidRDefault="00456F5F">
      <w:pPr>
        <w:jc w:val="both"/>
        <w:rPr>
          <w:rFonts w:ascii="Arial" w:hAnsi="Arial" w:cs="Arial"/>
          <w:b/>
          <w:sz w:val="18"/>
          <w:szCs w:val="18"/>
        </w:rPr>
      </w:pPr>
      <w:r>
        <w:rPr>
          <w:rFonts w:ascii="Arial" w:hAnsi="Arial" w:cs="Arial"/>
          <w:b/>
          <w:sz w:val="18"/>
          <w:szCs w:val="18"/>
        </w:rPr>
        <w:t xml:space="preserve">1.4.9. </w:t>
      </w:r>
      <w:r>
        <w:rPr>
          <w:rFonts w:ascii="Arial" w:hAnsi="Arial" w:cs="Arial"/>
          <w:sz w:val="18"/>
          <w:szCs w:val="18"/>
        </w:rPr>
        <w:t xml:space="preserve">  Rów odpływowy</w:t>
      </w:r>
      <w:r>
        <w:rPr>
          <w:rFonts w:ascii="Arial" w:hAnsi="Arial" w:cs="Arial"/>
          <w:b/>
          <w:sz w:val="18"/>
          <w:szCs w:val="18"/>
        </w:rPr>
        <w:t xml:space="preserve"> - </w:t>
      </w:r>
      <w:r>
        <w:rPr>
          <w:rFonts w:ascii="Arial" w:hAnsi="Arial" w:cs="Arial"/>
          <w:sz w:val="18"/>
          <w:szCs w:val="18"/>
        </w:rPr>
        <w:t>rów odprowadzający wodę poza pas drogowy.</w:t>
      </w:r>
    </w:p>
    <w:p w:rsidR="000D7726" w:rsidRDefault="00456F5F">
      <w:pPr>
        <w:jc w:val="both"/>
        <w:rPr>
          <w:rFonts w:ascii="Arial" w:hAnsi="Arial" w:cs="Arial"/>
          <w:sz w:val="18"/>
          <w:szCs w:val="18"/>
        </w:rPr>
      </w:pPr>
      <w:r>
        <w:rPr>
          <w:rFonts w:ascii="Arial" w:hAnsi="Arial" w:cs="Arial"/>
          <w:b/>
          <w:sz w:val="18"/>
          <w:szCs w:val="18"/>
        </w:rPr>
        <w:t xml:space="preserve">1.4.10. </w:t>
      </w:r>
      <w:r>
        <w:rPr>
          <w:rFonts w:ascii="Arial" w:hAnsi="Arial" w:cs="Arial"/>
          <w:sz w:val="18"/>
          <w:szCs w:val="18"/>
        </w:rPr>
        <w:t>Rów stokowy - rów zbierający wodę spływającą ze stoku.</w:t>
      </w:r>
    </w:p>
    <w:p w:rsidR="000D7726" w:rsidRDefault="00456F5F">
      <w:pPr>
        <w:ind w:left="709" w:hanging="709"/>
        <w:jc w:val="both"/>
        <w:rPr>
          <w:rFonts w:ascii="Arial" w:hAnsi="Arial" w:cs="Arial"/>
          <w:sz w:val="18"/>
          <w:szCs w:val="18"/>
        </w:rPr>
      </w:pPr>
      <w:r>
        <w:rPr>
          <w:rFonts w:ascii="Arial" w:hAnsi="Arial" w:cs="Arial"/>
          <w:b/>
          <w:sz w:val="18"/>
          <w:szCs w:val="18"/>
        </w:rPr>
        <w:t>1.4.11</w:t>
      </w:r>
      <w:r>
        <w:rPr>
          <w:rFonts w:ascii="Arial" w:hAnsi="Arial" w:cs="Arial"/>
          <w:sz w:val="18"/>
          <w:szCs w:val="18"/>
        </w:rPr>
        <w:t>. Grunt skalisty – grunt rodzimy, lity lub spękany o nie przesuniętych blokach, którego próbki nie wykazują zmian objętości ani nie rozpadają się pod działaniem wody destylowanej; mają wytrzymałość na ściskanie Rc ponad 0,2 Mpa; wymaga użycia środków wybuchowych albo narzędzi pneumatycznych lub hydraulicznych do odspojenia.</w:t>
      </w:r>
    </w:p>
    <w:p w:rsidR="000D7726" w:rsidRDefault="00456F5F">
      <w:pPr>
        <w:jc w:val="both"/>
        <w:rPr>
          <w:rFonts w:ascii="Arial" w:hAnsi="Arial" w:cs="Arial"/>
          <w:sz w:val="18"/>
          <w:szCs w:val="18"/>
        </w:rPr>
      </w:pPr>
      <w:r>
        <w:rPr>
          <w:rFonts w:ascii="Arial" w:hAnsi="Arial" w:cs="Arial"/>
          <w:b/>
          <w:sz w:val="18"/>
          <w:szCs w:val="18"/>
        </w:rPr>
        <w:t xml:space="preserve">1.4.12.  </w:t>
      </w:r>
      <w:r>
        <w:rPr>
          <w:rFonts w:ascii="Arial" w:hAnsi="Arial" w:cs="Arial"/>
          <w:sz w:val="18"/>
          <w:szCs w:val="18"/>
        </w:rPr>
        <w:t>Grunt nieskalisty - każdy grunt rodzimy, nie określony w punkcie 1.4.11 jako grunt skalisty.</w:t>
      </w:r>
    </w:p>
    <w:p w:rsidR="000D7726" w:rsidRDefault="00456F5F">
      <w:pPr>
        <w:jc w:val="both"/>
        <w:rPr>
          <w:rFonts w:ascii="Arial" w:hAnsi="Arial" w:cs="Arial"/>
          <w:sz w:val="18"/>
          <w:szCs w:val="18"/>
        </w:rPr>
      </w:pPr>
      <w:r>
        <w:rPr>
          <w:rFonts w:ascii="Arial" w:hAnsi="Arial" w:cs="Arial"/>
          <w:b/>
          <w:sz w:val="18"/>
          <w:szCs w:val="18"/>
        </w:rPr>
        <w:t>1.4.13</w:t>
      </w:r>
      <w:r>
        <w:rPr>
          <w:rFonts w:ascii="Arial" w:hAnsi="Arial" w:cs="Arial"/>
          <w:sz w:val="18"/>
          <w:szCs w:val="18"/>
        </w:rPr>
        <w:t xml:space="preserve">.  Ukop – miejsce pozyskania gruntu do wykonania nasypów, położone w obrębie pasa robót </w:t>
      </w:r>
      <w:r>
        <w:rPr>
          <w:rFonts w:ascii="Arial" w:hAnsi="Arial" w:cs="Arial"/>
          <w:sz w:val="18"/>
          <w:szCs w:val="18"/>
        </w:rPr>
        <w:br/>
        <w:t xml:space="preserve">             drogowych.</w:t>
      </w:r>
    </w:p>
    <w:p w:rsidR="000D7726" w:rsidRDefault="00456F5F">
      <w:pPr>
        <w:jc w:val="both"/>
        <w:rPr>
          <w:rFonts w:ascii="Arial" w:hAnsi="Arial" w:cs="Arial"/>
          <w:sz w:val="18"/>
          <w:szCs w:val="18"/>
        </w:rPr>
      </w:pPr>
      <w:r>
        <w:rPr>
          <w:rFonts w:ascii="Arial" w:hAnsi="Arial" w:cs="Arial"/>
          <w:b/>
          <w:sz w:val="18"/>
          <w:szCs w:val="18"/>
        </w:rPr>
        <w:t>1.4.14. </w:t>
      </w:r>
      <w:r>
        <w:rPr>
          <w:rFonts w:ascii="Arial" w:hAnsi="Arial" w:cs="Arial"/>
          <w:sz w:val="18"/>
          <w:szCs w:val="18"/>
        </w:rPr>
        <w:t>Dokop – miejsce pozyskania gruntu do wykonania nasypów, położone poza pasem robót</w:t>
      </w:r>
      <w:r>
        <w:rPr>
          <w:rFonts w:ascii="Arial" w:hAnsi="Arial" w:cs="Arial"/>
          <w:sz w:val="18"/>
          <w:szCs w:val="18"/>
        </w:rPr>
        <w:br/>
        <w:t xml:space="preserve">            drogowych.</w:t>
      </w:r>
    </w:p>
    <w:p w:rsidR="000D7726" w:rsidRDefault="00456F5F">
      <w:pPr>
        <w:tabs>
          <w:tab w:val="left" w:pos="567"/>
        </w:tabs>
        <w:ind w:left="709" w:hanging="709"/>
        <w:jc w:val="both"/>
        <w:rPr>
          <w:rFonts w:ascii="Arial" w:hAnsi="Arial" w:cs="Arial"/>
          <w:sz w:val="18"/>
          <w:szCs w:val="18"/>
        </w:rPr>
      </w:pPr>
      <w:r>
        <w:rPr>
          <w:rFonts w:ascii="Arial" w:hAnsi="Arial" w:cs="Arial"/>
          <w:b/>
          <w:sz w:val="18"/>
          <w:szCs w:val="18"/>
        </w:rPr>
        <w:t>1.4.15</w:t>
      </w:r>
      <w:r>
        <w:rPr>
          <w:rFonts w:ascii="Arial" w:hAnsi="Arial" w:cs="Arial"/>
          <w:sz w:val="18"/>
          <w:szCs w:val="18"/>
        </w:rPr>
        <w:t>. Odkład – miejsce wbudowania lub składowania (odwiezienia) gruntów pozyskanych w czasie  wykonywania wykopów, a nie wykorzystanych do budowy nasypów oraz innych prac związanych z trasą drogową.</w:t>
      </w:r>
    </w:p>
    <w:p w:rsidR="000D7726" w:rsidRDefault="00456F5F">
      <w:pPr>
        <w:jc w:val="both"/>
        <w:rPr>
          <w:rFonts w:ascii="Arial" w:hAnsi="Arial" w:cs="Arial"/>
          <w:sz w:val="18"/>
          <w:szCs w:val="18"/>
        </w:rPr>
      </w:pPr>
      <w:r>
        <w:rPr>
          <w:rFonts w:ascii="Arial" w:hAnsi="Arial" w:cs="Arial"/>
          <w:b/>
          <w:sz w:val="18"/>
          <w:szCs w:val="18"/>
        </w:rPr>
        <w:t>1.4.16</w:t>
      </w:r>
      <w:r>
        <w:rPr>
          <w:rFonts w:ascii="Arial" w:hAnsi="Arial" w:cs="Arial"/>
          <w:sz w:val="18"/>
          <w:szCs w:val="18"/>
        </w:rPr>
        <w:t>. Wskaźnik zagęszczenia gruntu – wielkość charakteryzująca stan zagęszczenia gruntu, określona wg wzoru:</w:t>
      </w:r>
    </w:p>
    <w:p w:rsidR="000D7726" w:rsidRDefault="00456F5F">
      <w:pPr>
        <w:spacing w:line="120" w:lineRule="atLeast"/>
        <w:jc w:val="both"/>
        <w:rPr>
          <w:rFonts w:ascii="Arial" w:hAnsi="Arial" w:cs="Arial"/>
          <w:sz w:val="18"/>
          <w:szCs w:val="18"/>
        </w:rPr>
      </w:pPr>
      <w:r>
        <w:rPr>
          <w:rFonts w:ascii="Arial" w:hAnsi="Arial" w:cs="Arial"/>
          <w:sz w:val="18"/>
          <w:szCs w:val="18"/>
        </w:rPr>
        <w:t xml:space="preserve">                                                                 ρ </w:t>
      </w:r>
      <w:r>
        <w:rPr>
          <w:rFonts w:ascii="Arial" w:hAnsi="Arial" w:cs="Arial"/>
          <w:sz w:val="18"/>
          <w:szCs w:val="18"/>
          <w:vertAlign w:val="subscript"/>
        </w:rPr>
        <w:t>d</w:t>
      </w:r>
    </w:p>
    <w:p w:rsidR="000D7726" w:rsidRDefault="00456F5F">
      <w:pPr>
        <w:spacing w:line="120" w:lineRule="atLeast"/>
        <w:jc w:val="both"/>
        <w:rPr>
          <w:rFonts w:ascii="Arial" w:hAnsi="Arial" w:cs="Arial"/>
          <w:sz w:val="18"/>
          <w:szCs w:val="18"/>
        </w:rPr>
      </w:pPr>
      <w:r>
        <w:rPr>
          <w:rFonts w:ascii="Arial" w:hAnsi="Arial" w:cs="Arial"/>
          <w:sz w:val="18"/>
          <w:szCs w:val="18"/>
        </w:rPr>
        <w:t xml:space="preserve">                                                       I</w:t>
      </w:r>
      <w:r>
        <w:rPr>
          <w:rFonts w:ascii="Arial" w:hAnsi="Arial" w:cs="Arial"/>
          <w:sz w:val="18"/>
          <w:szCs w:val="18"/>
          <w:vertAlign w:val="subscript"/>
        </w:rPr>
        <w:t>s</w:t>
      </w:r>
      <w:r>
        <w:rPr>
          <w:rFonts w:ascii="Arial" w:hAnsi="Arial" w:cs="Arial"/>
          <w:sz w:val="18"/>
          <w:szCs w:val="18"/>
        </w:rPr>
        <w:t xml:space="preserve">  =   ----</w:t>
      </w:r>
    </w:p>
    <w:p w:rsidR="000D7726" w:rsidRDefault="00456F5F">
      <w:pPr>
        <w:spacing w:line="120" w:lineRule="atLeast"/>
        <w:jc w:val="both"/>
        <w:rPr>
          <w:rFonts w:ascii="Arial" w:hAnsi="Arial" w:cs="Arial"/>
          <w:sz w:val="18"/>
          <w:szCs w:val="18"/>
        </w:rPr>
      </w:pPr>
      <w:r>
        <w:rPr>
          <w:rFonts w:ascii="Arial" w:hAnsi="Arial" w:cs="Arial"/>
          <w:sz w:val="18"/>
          <w:szCs w:val="18"/>
        </w:rPr>
        <w:t xml:space="preserve">                                                                 ρ </w:t>
      </w:r>
      <w:r>
        <w:rPr>
          <w:rFonts w:ascii="Arial" w:hAnsi="Arial" w:cs="Arial"/>
          <w:sz w:val="18"/>
          <w:szCs w:val="18"/>
          <w:vertAlign w:val="subscript"/>
        </w:rPr>
        <w:t>ds</w:t>
      </w:r>
    </w:p>
    <w:p w:rsidR="000D7726" w:rsidRDefault="00456F5F">
      <w:pPr>
        <w:spacing w:line="120" w:lineRule="atLeast"/>
        <w:jc w:val="both"/>
        <w:rPr>
          <w:rFonts w:ascii="Arial" w:hAnsi="Arial" w:cs="Arial"/>
          <w:sz w:val="18"/>
          <w:szCs w:val="18"/>
        </w:rPr>
      </w:pPr>
      <w:r>
        <w:rPr>
          <w:rFonts w:ascii="Arial" w:hAnsi="Arial" w:cs="Arial"/>
          <w:sz w:val="18"/>
          <w:szCs w:val="18"/>
        </w:rPr>
        <w:t>gdzie:</w:t>
      </w:r>
    </w:p>
    <w:p w:rsidR="000D7726" w:rsidRDefault="00456F5F">
      <w:pPr>
        <w:spacing w:line="120" w:lineRule="atLeast"/>
        <w:jc w:val="both"/>
        <w:rPr>
          <w:rFonts w:ascii="Arial" w:hAnsi="Arial" w:cs="Arial"/>
          <w:sz w:val="18"/>
          <w:szCs w:val="18"/>
        </w:rPr>
      </w:pPr>
      <w:r>
        <w:rPr>
          <w:rFonts w:ascii="Arial" w:hAnsi="Arial" w:cs="Arial"/>
          <w:sz w:val="18"/>
          <w:szCs w:val="18"/>
        </w:rPr>
        <w:t>-    ρ</w:t>
      </w:r>
      <w:r>
        <w:rPr>
          <w:rFonts w:ascii="Arial" w:hAnsi="Arial" w:cs="Arial"/>
          <w:sz w:val="18"/>
          <w:szCs w:val="18"/>
          <w:vertAlign w:val="subscript"/>
        </w:rPr>
        <w:t>d</w:t>
      </w:r>
      <w:r>
        <w:rPr>
          <w:rFonts w:ascii="Arial" w:hAnsi="Arial" w:cs="Arial"/>
          <w:sz w:val="18"/>
          <w:szCs w:val="18"/>
        </w:rPr>
        <w:t xml:space="preserve">   - gęstość objętościowa szkieletu zagęszczonego gruntu , zgodnie z BN-77-/8931-12 [2],</w:t>
      </w:r>
    </w:p>
    <w:p w:rsidR="000D7726" w:rsidRDefault="00456F5F">
      <w:pPr>
        <w:tabs>
          <w:tab w:val="left" w:pos="360"/>
        </w:tabs>
        <w:spacing w:line="120" w:lineRule="atLeast"/>
        <w:jc w:val="both"/>
        <w:rPr>
          <w:rFonts w:ascii="Arial" w:hAnsi="Arial" w:cs="Arial"/>
          <w:sz w:val="18"/>
          <w:szCs w:val="18"/>
        </w:rPr>
      </w:pPr>
      <w:r>
        <w:rPr>
          <w:rFonts w:ascii="Arial" w:hAnsi="Arial" w:cs="Arial"/>
          <w:sz w:val="18"/>
          <w:szCs w:val="18"/>
        </w:rPr>
        <w:t>-</w:t>
      </w:r>
      <w:r>
        <w:rPr>
          <w:rFonts w:ascii="Arial" w:hAnsi="Arial" w:cs="Arial"/>
          <w:sz w:val="18"/>
          <w:szCs w:val="18"/>
        </w:rPr>
        <w:tab/>
        <w:t>ρ</w:t>
      </w:r>
      <w:r>
        <w:rPr>
          <w:rFonts w:ascii="Arial" w:hAnsi="Arial" w:cs="Arial"/>
          <w:sz w:val="18"/>
          <w:szCs w:val="18"/>
          <w:vertAlign w:val="subscript"/>
        </w:rPr>
        <w:t>ds</w:t>
      </w:r>
      <w:r>
        <w:rPr>
          <w:rFonts w:ascii="Arial" w:hAnsi="Arial" w:cs="Arial"/>
          <w:sz w:val="18"/>
          <w:szCs w:val="18"/>
        </w:rPr>
        <w:t xml:space="preserve"> - maksymalna gęstość objętościowa szkieletu gruntu, przy wilgotności optymalnej, określona zgodnie z PN-B-04481:1988 [3] służąca do oceny gruntu w robotach ziemnych.</w:t>
      </w:r>
    </w:p>
    <w:p w:rsidR="000D7726" w:rsidRDefault="000D7726">
      <w:pPr>
        <w:tabs>
          <w:tab w:val="left" w:pos="360"/>
        </w:tabs>
        <w:spacing w:line="120" w:lineRule="atLeast"/>
        <w:jc w:val="both"/>
        <w:rPr>
          <w:rFonts w:ascii="Arial" w:hAnsi="Arial" w:cs="Arial"/>
          <w:sz w:val="18"/>
          <w:szCs w:val="18"/>
        </w:rPr>
      </w:pPr>
    </w:p>
    <w:p w:rsidR="000D7726" w:rsidRDefault="00456F5F">
      <w:pPr>
        <w:rPr>
          <w:rFonts w:ascii="Arial" w:hAnsi="Arial" w:cs="Arial"/>
          <w:sz w:val="18"/>
          <w:szCs w:val="18"/>
        </w:rPr>
      </w:pPr>
      <w:r>
        <w:rPr>
          <w:rFonts w:ascii="Arial" w:hAnsi="Arial" w:cs="Arial"/>
          <w:b/>
          <w:sz w:val="18"/>
          <w:szCs w:val="18"/>
        </w:rPr>
        <w:t xml:space="preserve">1.4.17.  </w:t>
      </w:r>
      <w:r>
        <w:rPr>
          <w:rFonts w:ascii="Arial" w:hAnsi="Arial" w:cs="Arial"/>
          <w:bCs/>
          <w:sz w:val="18"/>
          <w:szCs w:val="18"/>
        </w:rPr>
        <w:t>Wskaźnik jednorodności uziarnienia</w:t>
      </w:r>
      <w:r>
        <w:rPr>
          <w:rFonts w:ascii="Arial" w:hAnsi="Arial" w:cs="Arial"/>
          <w:sz w:val="18"/>
          <w:szCs w:val="18"/>
        </w:rPr>
        <w:t>, określony zależnością:</w:t>
      </w:r>
    </w:p>
    <w:p w:rsidR="000D7726" w:rsidRDefault="000D7726">
      <w:pPr>
        <w:rPr>
          <w:rFonts w:ascii="Arial" w:hAnsi="Arial" w:cs="Arial"/>
          <w:sz w:val="18"/>
          <w:szCs w:val="18"/>
        </w:rPr>
      </w:pPr>
    </w:p>
    <w:p w:rsidR="000D7726" w:rsidRDefault="00456F5F">
      <w:pPr>
        <w:jc w:val="center"/>
        <w:rPr>
          <w:rFonts w:ascii="Arial" w:hAnsi="Arial" w:cs="Arial"/>
          <w:sz w:val="18"/>
          <w:szCs w:val="18"/>
        </w:rPr>
      </w:pPr>
      <w:r>
        <w:rPr>
          <w:rFonts w:ascii="Arial" w:hAnsi="Arial" w:cs="Arial"/>
          <w:sz w:val="18"/>
          <w:szCs w:val="18"/>
        </w:rPr>
        <w:t xml:space="preserve">Cu = </w:t>
      </w:r>
      <w:r>
        <w:rPr>
          <w:rFonts w:ascii="Arial" w:hAnsi="Arial" w:cs="Arial"/>
          <w:position w:val="-22"/>
          <w:sz w:val="18"/>
          <w:szCs w:val="18"/>
        </w:rPr>
        <w:object w:dxaOrig="76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27.75pt" o:ole="">
            <v:imagedata r:id="rId9" o:title=""/>
          </v:shape>
          <o:OLEObject Type="Embed" ProgID="Equation.3" ShapeID="_x0000_i1025" DrawAspect="Content" ObjectID="_1665488459" r:id="rId10"/>
        </w:object>
      </w:r>
    </w:p>
    <w:p w:rsidR="000D7726" w:rsidRDefault="00456F5F">
      <w:pPr>
        <w:rPr>
          <w:rFonts w:ascii="Arial" w:hAnsi="Arial" w:cs="Arial"/>
          <w:sz w:val="18"/>
          <w:szCs w:val="18"/>
        </w:rPr>
      </w:pPr>
      <w:r>
        <w:rPr>
          <w:rFonts w:ascii="Arial" w:hAnsi="Arial" w:cs="Arial"/>
          <w:sz w:val="18"/>
          <w:szCs w:val="18"/>
        </w:rPr>
        <w:t>gdzie:</w:t>
      </w:r>
    </w:p>
    <w:p w:rsidR="000D7726" w:rsidRDefault="00456F5F">
      <w:pPr>
        <w:rPr>
          <w:rFonts w:ascii="Arial" w:hAnsi="Arial" w:cs="Arial"/>
          <w:sz w:val="18"/>
          <w:szCs w:val="18"/>
        </w:rPr>
      </w:pPr>
      <w:r>
        <w:rPr>
          <w:rFonts w:ascii="Arial" w:hAnsi="Arial" w:cs="Arial"/>
          <w:iCs/>
          <w:sz w:val="18"/>
          <w:szCs w:val="18"/>
        </w:rPr>
        <w:t>C</w:t>
      </w:r>
      <w:r>
        <w:rPr>
          <w:rFonts w:ascii="Arial" w:hAnsi="Arial" w:cs="Arial"/>
          <w:iCs/>
          <w:sz w:val="18"/>
          <w:szCs w:val="18"/>
          <w:vertAlign w:val="subscript"/>
        </w:rPr>
        <w:t>U</w:t>
      </w:r>
      <w:r>
        <w:rPr>
          <w:rFonts w:ascii="Arial" w:hAnsi="Arial" w:cs="Arial"/>
          <w:sz w:val="18"/>
          <w:szCs w:val="18"/>
        </w:rPr>
        <w:t xml:space="preserve"> - wskaźnik jednorodności uziarnienia,</w:t>
      </w:r>
      <w:r>
        <w:rPr>
          <w:rFonts w:ascii="Arial" w:hAnsi="Arial" w:cs="Arial"/>
          <w:b/>
          <w:sz w:val="18"/>
          <w:szCs w:val="18"/>
        </w:rPr>
        <w:t xml:space="preserve"> </w:t>
      </w:r>
    </w:p>
    <w:p w:rsidR="000D7726" w:rsidRDefault="00456F5F">
      <w:pPr>
        <w:pStyle w:val="Standardowytekst"/>
        <w:numPr>
          <w:ilvl w:val="12"/>
          <w:numId w:val="0"/>
        </w:numPr>
        <w:tabs>
          <w:tab w:val="left" w:pos="426"/>
          <w:tab w:val="left" w:pos="709"/>
        </w:tabs>
        <w:jc w:val="left"/>
        <w:rPr>
          <w:rFonts w:ascii="Arial" w:hAnsi="Arial" w:cs="Arial"/>
          <w:sz w:val="18"/>
          <w:szCs w:val="18"/>
        </w:rPr>
      </w:pPr>
      <w:r>
        <w:rPr>
          <w:rFonts w:ascii="Arial" w:hAnsi="Arial" w:cs="Arial"/>
          <w:i/>
          <w:sz w:val="18"/>
          <w:szCs w:val="18"/>
        </w:rPr>
        <w:t>d</w:t>
      </w:r>
      <w:r>
        <w:rPr>
          <w:rFonts w:ascii="Arial" w:hAnsi="Arial" w:cs="Arial"/>
          <w:i/>
          <w:sz w:val="18"/>
          <w:szCs w:val="18"/>
          <w:vertAlign w:val="subscript"/>
        </w:rPr>
        <w:t>60</w:t>
      </w:r>
      <w:r>
        <w:rPr>
          <w:rFonts w:ascii="Arial" w:hAnsi="Arial" w:cs="Arial"/>
          <w:sz w:val="18"/>
          <w:szCs w:val="18"/>
        </w:rPr>
        <w:tab/>
        <w:t>-</w:t>
      </w:r>
      <w:r>
        <w:rPr>
          <w:rFonts w:ascii="Arial" w:hAnsi="Arial" w:cs="Arial"/>
          <w:sz w:val="18"/>
          <w:szCs w:val="18"/>
        </w:rPr>
        <w:tab/>
        <w:t>średnica oczek sita, przez które przechodzi 60% gruntu, (mm),</w:t>
      </w:r>
    </w:p>
    <w:p w:rsidR="000D7726" w:rsidRDefault="00456F5F">
      <w:pPr>
        <w:pStyle w:val="Standardowytekst"/>
        <w:numPr>
          <w:ilvl w:val="12"/>
          <w:numId w:val="0"/>
        </w:numPr>
        <w:tabs>
          <w:tab w:val="left" w:pos="426"/>
          <w:tab w:val="left" w:pos="709"/>
        </w:tabs>
        <w:jc w:val="left"/>
        <w:rPr>
          <w:rFonts w:ascii="Arial" w:hAnsi="Arial" w:cs="Arial"/>
          <w:b/>
          <w:sz w:val="18"/>
          <w:szCs w:val="18"/>
        </w:rPr>
      </w:pPr>
      <w:r>
        <w:rPr>
          <w:rFonts w:ascii="Arial" w:hAnsi="Arial" w:cs="Arial"/>
          <w:i/>
          <w:sz w:val="18"/>
          <w:szCs w:val="18"/>
        </w:rPr>
        <w:t>d</w:t>
      </w:r>
      <w:r>
        <w:rPr>
          <w:rFonts w:ascii="Arial" w:hAnsi="Arial" w:cs="Arial"/>
          <w:i/>
          <w:sz w:val="18"/>
          <w:szCs w:val="18"/>
          <w:vertAlign w:val="subscript"/>
        </w:rPr>
        <w:t>10</w:t>
      </w:r>
      <w:r>
        <w:rPr>
          <w:rFonts w:ascii="Arial" w:hAnsi="Arial" w:cs="Arial"/>
          <w:sz w:val="18"/>
          <w:szCs w:val="18"/>
        </w:rPr>
        <w:tab/>
        <w:t>-</w:t>
      </w:r>
      <w:r>
        <w:rPr>
          <w:rFonts w:ascii="Arial" w:hAnsi="Arial" w:cs="Arial"/>
          <w:sz w:val="18"/>
          <w:szCs w:val="18"/>
        </w:rPr>
        <w:tab/>
        <w:t>średnica oczek sita, przez które przechodzi 10% gruntu, (mm).</w:t>
      </w:r>
    </w:p>
    <w:p w:rsidR="000D7726" w:rsidRDefault="00456F5F">
      <w:pPr>
        <w:pStyle w:val="Standardowytekst"/>
        <w:numPr>
          <w:ilvl w:val="12"/>
          <w:numId w:val="0"/>
        </w:numPr>
        <w:spacing w:before="120"/>
        <w:jc w:val="left"/>
        <w:rPr>
          <w:rFonts w:ascii="Arial" w:hAnsi="Arial" w:cs="Arial"/>
          <w:sz w:val="18"/>
          <w:szCs w:val="18"/>
        </w:rPr>
      </w:pPr>
      <w:r>
        <w:rPr>
          <w:rFonts w:ascii="Arial" w:hAnsi="Arial" w:cs="Arial"/>
          <w:b/>
          <w:sz w:val="18"/>
          <w:szCs w:val="18"/>
        </w:rPr>
        <w:lastRenderedPageBreak/>
        <w:t>1.4.18.</w:t>
      </w:r>
      <w:r>
        <w:rPr>
          <w:rFonts w:ascii="Arial" w:hAnsi="Arial" w:cs="Arial"/>
          <w:bCs/>
          <w:sz w:val="18"/>
          <w:szCs w:val="18"/>
        </w:rPr>
        <w:t xml:space="preserve">  </w:t>
      </w:r>
      <w:r>
        <w:rPr>
          <w:rFonts w:ascii="Arial" w:hAnsi="Arial" w:cs="Arial"/>
          <w:sz w:val="18"/>
          <w:szCs w:val="18"/>
        </w:rPr>
        <w:t xml:space="preserve">Wskaźnik odkształcenia gruntu - wielkość charakteryzująca stan zagęszczenia gruntu, określona wg wzoru: </w:t>
      </w:r>
    </w:p>
    <w:p w:rsidR="000D7726" w:rsidRDefault="00456F5F">
      <w:pPr>
        <w:pStyle w:val="Standardowytekst"/>
        <w:numPr>
          <w:ilvl w:val="12"/>
          <w:numId w:val="0"/>
        </w:numPr>
        <w:tabs>
          <w:tab w:val="left" w:pos="426"/>
          <w:tab w:val="left" w:pos="709"/>
        </w:tabs>
        <w:jc w:val="center"/>
        <w:rPr>
          <w:rFonts w:ascii="Arial" w:hAnsi="Arial" w:cs="Arial"/>
          <w:sz w:val="18"/>
          <w:szCs w:val="18"/>
        </w:rPr>
      </w:pPr>
      <w:r>
        <w:rPr>
          <w:rFonts w:ascii="Arial" w:hAnsi="Arial" w:cs="Arial"/>
          <w:position w:val="-26"/>
          <w:sz w:val="18"/>
          <w:szCs w:val="18"/>
        </w:rPr>
        <w:object w:dxaOrig="720" w:dyaOrig="600">
          <v:shape id="_x0000_i1026" type="#_x0000_t75" style="width:36.75pt;height:30pt" o:ole="">
            <v:imagedata r:id="rId11" o:title=""/>
          </v:shape>
          <o:OLEObject Type="Embed" ProgID="Equation.3" ShapeID="_x0000_i1026" DrawAspect="Content" ObjectID="_1665488460" r:id="rId12"/>
        </w:object>
      </w:r>
    </w:p>
    <w:p w:rsidR="000D7726" w:rsidRDefault="00456F5F">
      <w:pPr>
        <w:pStyle w:val="Standardowytekst"/>
        <w:numPr>
          <w:ilvl w:val="12"/>
          <w:numId w:val="0"/>
        </w:numPr>
        <w:tabs>
          <w:tab w:val="left" w:pos="426"/>
          <w:tab w:val="left" w:pos="709"/>
        </w:tabs>
        <w:ind w:left="709"/>
        <w:jc w:val="left"/>
        <w:rPr>
          <w:rFonts w:ascii="Arial" w:hAnsi="Arial" w:cs="Arial"/>
          <w:sz w:val="18"/>
          <w:szCs w:val="18"/>
        </w:rPr>
      </w:pPr>
      <w:r>
        <w:rPr>
          <w:rFonts w:ascii="Arial" w:hAnsi="Arial" w:cs="Arial"/>
          <w:sz w:val="18"/>
          <w:szCs w:val="18"/>
        </w:rPr>
        <w:t>gdzie:</w:t>
      </w:r>
    </w:p>
    <w:p w:rsidR="000D7726" w:rsidRDefault="00456F5F">
      <w:pPr>
        <w:pStyle w:val="Standardowytekst"/>
        <w:numPr>
          <w:ilvl w:val="12"/>
          <w:numId w:val="0"/>
        </w:numPr>
        <w:tabs>
          <w:tab w:val="left" w:pos="426"/>
          <w:tab w:val="left" w:pos="709"/>
        </w:tabs>
        <w:ind w:left="709"/>
        <w:jc w:val="left"/>
        <w:rPr>
          <w:rFonts w:ascii="Arial" w:hAnsi="Arial" w:cs="Arial"/>
          <w:sz w:val="18"/>
          <w:szCs w:val="18"/>
        </w:rPr>
      </w:pPr>
      <w:r>
        <w:rPr>
          <w:rFonts w:ascii="Arial" w:hAnsi="Arial" w:cs="Arial"/>
          <w:i/>
          <w:sz w:val="18"/>
          <w:szCs w:val="18"/>
        </w:rPr>
        <w:t>E</w:t>
      </w:r>
      <w:r>
        <w:rPr>
          <w:rFonts w:ascii="Arial" w:hAnsi="Arial" w:cs="Arial"/>
          <w:i/>
          <w:sz w:val="18"/>
          <w:szCs w:val="18"/>
          <w:vertAlign w:val="subscript"/>
        </w:rPr>
        <w:t>1</w:t>
      </w:r>
      <w:r>
        <w:rPr>
          <w:rFonts w:ascii="Arial" w:hAnsi="Arial" w:cs="Arial"/>
          <w:sz w:val="18"/>
          <w:szCs w:val="18"/>
        </w:rPr>
        <w:tab/>
        <w:t>-</w:t>
      </w:r>
      <w:r>
        <w:rPr>
          <w:rFonts w:ascii="Arial" w:hAnsi="Arial" w:cs="Arial"/>
          <w:sz w:val="18"/>
          <w:szCs w:val="18"/>
        </w:rPr>
        <w:tab/>
        <w:t xml:space="preserve">moduł odkształcenia gruntu oznaczony w pierwszym obciążeniu badanej warstwy zgodnie  </w:t>
      </w:r>
      <w:r>
        <w:rPr>
          <w:rFonts w:ascii="Arial" w:hAnsi="Arial" w:cs="Arial"/>
          <w:sz w:val="18"/>
          <w:szCs w:val="18"/>
        </w:rPr>
        <w:br/>
        <w:t>z PN-S-02205:1998 [1],</w:t>
      </w:r>
    </w:p>
    <w:p w:rsidR="000D7726" w:rsidRDefault="00456F5F">
      <w:pPr>
        <w:pStyle w:val="Standardowytekst"/>
        <w:numPr>
          <w:ilvl w:val="12"/>
          <w:numId w:val="0"/>
        </w:numPr>
        <w:tabs>
          <w:tab w:val="left" w:pos="426"/>
          <w:tab w:val="left" w:pos="709"/>
        </w:tabs>
        <w:ind w:left="709"/>
        <w:jc w:val="left"/>
        <w:rPr>
          <w:rFonts w:ascii="Arial" w:hAnsi="Arial" w:cs="Arial"/>
          <w:sz w:val="18"/>
          <w:szCs w:val="18"/>
        </w:rPr>
      </w:pPr>
      <w:r>
        <w:rPr>
          <w:rFonts w:ascii="Arial" w:hAnsi="Arial" w:cs="Arial"/>
          <w:i/>
          <w:sz w:val="18"/>
          <w:szCs w:val="18"/>
        </w:rPr>
        <w:t>E</w:t>
      </w:r>
      <w:r>
        <w:rPr>
          <w:rFonts w:ascii="Arial" w:hAnsi="Arial" w:cs="Arial"/>
          <w:i/>
          <w:sz w:val="18"/>
          <w:szCs w:val="18"/>
          <w:vertAlign w:val="subscript"/>
        </w:rPr>
        <w:t>2</w:t>
      </w:r>
      <w:r>
        <w:rPr>
          <w:rFonts w:ascii="Arial" w:hAnsi="Arial" w:cs="Arial"/>
          <w:sz w:val="18"/>
          <w:szCs w:val="18"/>
        </w:rPr>
        <w:tab/>
        <w:t>-</w:t>
      </w:r>
      <w:r>
        <w:rPr>
          <w:rFonts w:ascii="Arial" w:hAnsi="Arial" w:cs="Arial"/>
          <w:sz w:val="18"/>
          <w:szCs w:val="18"/>
        </w:rPr>
        <w:tab/>
        <w:t xml:space="preserve">moduł odkształcenia gruntu oznaczony w powtórnym obciążeniu badanej warstwy zgodnie </w:t>
      </w:r>
      <w:r>
        <w:rPr>
          <w:rFonts w:ascii="Arial" w:hAnsi="Arial" w:cs="Arial"/>
          <w:sz w:val="18"/>
          <w:szCs w:val="18"/>
        </w:rPr>
        <w:br/>
        <w:t>z PN-S-02205:1998 [1].</w:t>
      </w:r>
    </w:p>
    <w:p w:rsidR="000D7726" w:rsidRDefault="00456F5F">
      <w:pPr>
        <w:numPr>
          <w:ilvl w:val="12"/>
          <w:numId w:val="0"/>
        </w:numPr>
        <w:ind w:left="567" w:hanging="567"/>
        <w:jc w:val="both"/>
        <w:rPr>
          <w:rFonts w:ascii="Arial" w:hAnsi="Arial" w:cs="Arial"/>
          <w:sz w:val="18"/>
          <w:szCs w:val="18"/>
        </w:rPr>
      </w:pPr>
      <w:r>
        <w:rPr>
          <w:rFonts w:ascii="Arial" w:hAnsi="Arial" w:cs="Arial"/>
          <w:b/>
          <w:sz w:val="18"/>
          <w:szCs w:val="18"/>
        </w:rPr>
        <w:t>1.4.19</w:t>
      </w:r>
      <w:r>
        <w:rPr>
          <w:rFonts w:ascii="Arial" w:hAnsi="Arial" w:cs="Arial"/>
          <w:sz w:val="18"/>
          <w:szCs w:val="18"/>
        </w:rPr>
        <w:t xml:space="preserve">. Pozostałe określenia podstawowe są zgodne z obowiązującymi, odpowiednimi polskimi normami </w:t>
      </w:r>
      <w:r>
        <w:rPr>
          <w:rFonts w:ascii="Arial" w:hAnsi="Arial" w:cs="Arial"/>
          <w:sz w:val="18"/>
          <w:szCs w:val="18"/>
        </w:rPr>
        <w:br/>
        <w:t xml:space="preserve">   i z definicjami podanymi w STWIORB  D-M 00.00.00. „Wymagania ogólne” pkt.1.4.</w:t>
      </w:r>
    </w:p>
    <w:p w:rsidR="000D7726" w:rsidRDefault="000D7726">
      <w:pPr>
        <w:numPr>
          <w:ilvl w:val="12"/>
          <w:numId w:val="0"/>
        </w:numPr>
        <w:jc w:val="both"/>
        <w:rPr>
          <w:rFonts w:ascii="Arial" w:hAnsi="Arial" w:cs="Arial"/>
          <w:sz w:val="18"/>
          <w:szCs w:val="18"/>
        </w:rPr>
      </w:pPr>
    </w:p>
    <w:p w:rsidR="000D7726" w:rsidRDefault="00456F5F">
      <w:pPr>
        <w:pStyle w:val="Nagwek2"/>
        <w:numPr>
          <w:ilvl w:val="12"/>
          <w:numId w:val="0"/>
        </w:numPr>
        <w:jc w:val="left"/>
        <w:rPr>
          <w:rFonts w:ascii="Arial" w:hAnsi="Arial" w:cs="Arial"/>
          <w:sz w:val="18"/>
          <w:szCs w:val="18"/>
        </w:rPr>
      </w:pPr>
      <w:bookmarkStart w:id="14" w:name="_Toc407161218"/>
      <w:r>
        <w:rPr>
          <w:rFonts w:ascii="Arial" w:hAnsi="Arial" w:cs="Arial"/>
          <w:sz w:val="18"/>
          <w:szCs w:val="18"/>
        </w:rPr>
        <w:t>1.5. Ogólne wymagania dotyczące robót</w:t>
      </w:r>
      <w:bookmarkEnd w:id="14"/>
    </w:p>
    <w:p w:rsidR="000D7726" w:rsidRDefault="00456F5F">
      <w:pPr>
        <w:pStyle w:val="StylIwony"/>
        <w:numPr>
          <w:ilvl w:val="12"/>
          <w:numId w:val="0"/>
        </w:numPr>
        <w:spacing w:before="0" w:after="0"/>
        <w:ind w:firstLine="567"/>
        <w:jc w:val="left"/>
        <w:rPr>
          <w:rFonts w:ascii="Arial" w:hAnsi="Arial" w:cs="Arial"/>
          <w:sz w:val="18"/>
          <w:szCs w:val="18"/>
        </w:rPr>
      </w:pPr>
      <w:r>
        <w:rPr>
          <w:rFonts w:ascii="Arial" w:hAnsi="Arial" w:cs="Arial"/>
          <w:sz w:val="18"/>
          <w:szCs w:val="18"/>
        </w:rPr>
        <w:t>Ogólne wymagania dotyczące robót podano w STWiORB D-M 00.00.00. pkt 1.5.</w:t>
      </w:r>
    </w:p>
    <w:p w:rsidR="000D7726" w:rsidRDefault="000D7726">
      <w:pPr>
        <w:pStyle w:val="Standardowytekst"/>
        <w:numPr>
          <w:ilvl w:val="12"/>
          <w:numId w:val="0"/>
        </w:numPr>
        <w:ind w:firstLine="567"/>
        <w:rPr>
          <w:rFonts w:ascii="Arial" w:hAnsi="Arial" w:cs="Arial"/>
          <w:sz w:val="18"/>
          <w:szCs w:val="18"/>
        </w:rPr>
      </w:pPr>
    </w:p>
    <w:p w:rsidR="000D7726" w:rsidRDefault="000D7726">
      <w:pPr>
        <w:pStyle w:val="Standardowytekst"/>
        <w:numPr>
          <w:ilvl w:val="12"/>
          <w:numId w:val="0"/>
        </w:numPr>
        <w:ind w:firstLine="567"/>
        <w:rPr>
          <w:rFonts w:ascii="Arial" w:hAnsi="Arial" w:cs="Arial"/>
          <w:sz w:val="18"/>
          <w:szCs w:val="18"/>
        </w:rPr>
      </w:pPr>
    </w:p>
    <w:p w:rsidR="000D7726" w:rsidRDefault="00456F5F">
      <w:pPr>
        <w:pStyle w:val="Nagwek1"/>
        <w:numPr>
          <w:ilvl w:val="12"/>
          <w:numId w:val="0"/>
        </w:numPr>
        <w:jc w:val="left"/>
        <w:rPr>
          <w:rFonts w:ascii="Arial" w:hAnsi="Arial" w:cs="Arial"/>
          <w:b/>
          <w:bCs/>
          <w:sz w:val="18"/>
          <w:szCs w:val="18"/>
        </w:rPr>
      </w:pPr>
      <w:r>
        <w:rPr>
          <w:rFonts w:ascii="Arial" w:hAnsi="Arial" w:cs="Arial"/>
          <w:b/>
          <w:bCs/>
          <w:sz w:val="18"/>
          <w:szCs w:val="18"/>
        </w:rPr>
        <w:t xml:space="preserve">2. </w:t>
      </w:r>
      <w:bookmarkStart w:id="15" w:name="_Toc407161219"/>
      <w:bookmarkStart w:id="16" w:name="_Toc418994926"/>
      <w:bookmarkStart w:id="17" w:name="_Toc418996333"/>
      <w:bookmarkStart w:id="18" w:name="_Toc418996702"/>
      <w:bookmarkStart w:id="19" w:name="_Toc418997089"/>
      <w:bookmarkStart w:id="20" w:name="_Toc418998499"/>
      <w:bookmarkStart w:id="21" w:name="_Toc418998855"/>
      <w:bookmarkStart w:id="22" w:name="_Toc419000100"/>
      <w:r>
        <w:rPr>
          <w:rFonts w:ascii="Arial" w:hAnsi="Arial" w:cs="Arial"/>
          <w:b/>
          <w:bCs/>
          <w:sz w:val="18"/>
          <w:szCs w:val="18"/>
        </w:rPr>
        <w:t>Materiały (grunty)</w:t>
      </w:r>
      <w:bookmarkEnd w:id="15"/>
      <w:bookmarkEnd w:id="16"/>
      <w:bookmarkEnd w:id="17"/>
      <w:bookmarkEnd w:id="18"/>
      <w:bookmarkEnd w:id="19"/>
      <w:bookmarkEnd w:id="20"/>
      <w:bookmarkEnd w:id="21"/>
      <w:bookmarkEnd w:id="22"/>
      <w:r>
        <w:rPr>
          <w:rFonts w:ascii="Arial" w:hAnsi="Arial" w:cs="Arial"/>
          <w:b/>
          <w:bCs/>
          <w:sz w:val="18"/>
          <w:szCs w:val="18"/>
        </w:rPr>
        <w:t xml:space="preserve"> </w:t>
      </w:r>
    </w:p>
    <w:p w:rsidR="000D7726" w:rsidRDefault="000D7726">
      <w:pPr>
        <w:rPr>
          <w:rFonts w:ascii="Arial" w:hAnsi="Arial" w:cs="Arial"/>
          <w:sz w:val="18"/>
          <w:szCs w:val="18"/>
        </w:rPr>
      </w:pPr>
    </w:p>
    <w:p w:rsidR="000D7726" w:rsidRDefault="00456F5F">
      <w:pPr>
        <w:numPr>
          <w:ilvl w:val="12"/>
          <w:numId w:val="0"/>
        </w:numPr>
        <w:jc w:val="both"/>
        <w:rPr>
          <w:rFonts w:ascii="Arial" w:hAnsi="Arial" w:cs="Arial"/>
          <w:sz w:val="18"/>
          <w:szCs w:val="18"/>
          <w:u w:val="single"/>
        </w:rPr>
      </w:pPr>
      <w:r>
        <w:rPr>
          <w:rFonts w:ascii="Arial" w:hAnsi="Arial" w:cs="Arial"/>
          <w:b/>
          <w:bCs/>
          <w:sz w:val="18"/>
          <w:szCs w:val="18"/>
        </w:rPr>
        <w:t>2.1.</w:t>
      </w:r>
      <w:r>
        <w:rPr>
          <w:rFonts w:ascii="Arial" w:hAnsi="Arial" w:cs="Arial"/>
          <w:sz w:val="18"/>
          <w:szCs w:val="18"/>
        </w:rPr>
        <w:t xml:space="preserve"> Materiał występujący w podłożu wykopu jest gruntem rodzimym, który będzie stanowił podłoże nawierzchni. Jeżeli podłoże nawierzchni zaklasyfikowano do innej grupy nośności niż G1 według Katalogu typowych konstrukcji nawierzchni podatnych i półsztywnych – 2014, należy podłoże doprowadzić do odpowiednich parametrów zgodnie z dokumentacją projektową i STWIORB.</w:t>
      </w:r>
    </w:p>
    <w:p w:rsidR="000D7726" w:rsidRDefault="000D7726">
      <w:pPr>
        <w:numPr>
          <w:ilvl w:val="12"/>
          <w:numId w:val="0"/>
        </w:numPr>
        <w:jc w:val="both"/>
        <w:rPr>
          <w:rFonts w:ascii="Arial" w:hAnsi="Arial" w:cs="Arial"/>
          <w:sz w:val="18"/>
          <w:szCs w:val="18"/>
        </w:rPr>
      </w:pPr>
    </w:p>
    <w:p w:rsidR="000D7726" w:rsidRDefault="00456F5F">
      <w:pPr>
        <w:pStyle w:val="Nagwek2"/>
        <w:numPr>
          <w:ilvl w:val="12"/>
          <w:numId w:val="0"/>
        </w:numPr>
        <w:jc w:val="both"/>
        <w:rPr>
          <w:rFonts w:ascii="Arial" w:hAnsi="Arial" w:cs="Arial"/>
          <w:sz w:val="18"/>
          <w:szCs w:val="18"/>
        </w:rPr>
      </w:pPr>
      <w:bookmarkStart w:id="23" w:name="_Toc405615039"/>
      <w:bookmarkStart w:id="24" w:name="_Toc407161187"/>
      <w:r>
        <w:rPr>
          <w:rFonts w:ascii="Arial" w:hAnsi="Arial" w:cs="Arial"/>
          <w:sz w:val="18"/>
          <w:szCs w:val="18"/>
        </w:rPr>
        <w:t>2.2. Zasady wykorzystania gruntów</w:t>
      </w:r>
      <w:bookmarkEnd w:id="23"/>
      <w:bookmarkEnd w:id="24"/>
    </w:p>
    <w:p w:rsidR="000D7726" w:rsidRDefault="00456F5F">
      <w:pPr>
        <w:pStyle w:val="Standardowytekst"/>
        <w:numPr>
          <w:ilvl w:val="12"/>
          <w:numId w:val="0"/>
        </w:numPr>
        <w:ind w:firstLine="567"/>
        <w:rPr>
          <w:rFonts w:ascii="Arial" w:hAnsi="Arial" w:cs="Arial"/>
          <w:sz w:val="18"/>
          <w:szCs w:val="18"/>
        </w:rPr>
      </w:pPr>
      <w:r>
        <w:rPr>
          <w:rFonts w:ascii="Arial" w:hAnsi="Arial" w:cs="Arial"/>
          <w:sz w:val="18"/>
          <w:szCs w:val="18"/>
        </w:rPr>
        <w:t xml:space="preserve">Grunty uzyskane przy wykonywaniu wykopów powinny być przez Wykonawcę wykorzystane </w:t>
      </w:r>
      <w:r>
        <w:rPr>
          <w:rFonts w:ascii="Arial" w:hAnsi="Arial" w:cs="Arial"/>
          <w:sz w:val="18"/>
          <w:szCs w:val="18"/>
        </w:rPr>
        <w:br/>
        <w:t>w maksymalnym stopniu do budowy nasypów. Grunty przydatne do budowy nasypów mogą być wywiezione poza teren budowy tylko wówczas, gdy stanowią nadmiar objętości robót ziemnych i za zezwoleniem Inżyniera/Inspektora Nadzoru.</w:t>
      </w:r>
    </w:p>
    <w:p w:rsidR="000D7726" w:rsidRDefault="00456F5F">
      <w:pPr>
        <w:pStyle w:val="Standardowytekst"/>
        <w:numPr>
          <w:ilvl w:val="12"/>
          <w:numId w:val="0"/>
        </w:numPr>
        <w:ind w:firstLine="567"/>
        <w:rPr>
          <w:rFonts w:ascii="Arial" w:hAnsi="Arial" w:cs="Arial"/>
          <w:sz w:val="18"/>
          <w:szCs w:val="18"/>
        </w:rPr>
      </w:pPr>
      <w:r>
        <w:rPr>
          <w:rFonts w:ascii="Arial" w:hAnsi="Arial" w:cs="Arial"/>
          <w:sz w:val="18"/>
          <w:szCs w:val="18"/>
        </w:rPr>
        <w:t>Jeżeli grunty przydatne, uzyskane przy wykonaniu wykopów, nie będąc nadmiarem objętości robót ziemnych, zostały za zgodą Inżyniera/Inspektora Nadzoru wywiezione przez Wykonawcę poza teren budowy z przeznaczeniem innym niż budowa nasypów lub wykonanie prac objętych kontraktem, Wykonawca jest zobowiązany do dostarczenia równoważnej objętości gruntów przydatnych ze źródeł własnych, zaakceptowanych przez Inżyniera/Inspektora Nadzoru.</w:t>
      </w:r>
    </w:p>
    <w:p w:rsidR="000D7726" w:rsidRDefault="00456F5F">
      <w:pPr>
        <w:pStyle w:val="Standardowytekst"/>
        <w:numPr>
          <w:ilvl w:val="12"/>
          <w:numId w:val="0"/>
        </w:numPr>
        <w:ind w:firstLine="567"/>
        <w:rPr>
          <w:rFonts w:ascii="Arial" w:hAnsi="Arial" w:cs="Arial"/>
          <w:sz w:val="18"/>
          <w:szCs w:val="18"/>
        </w:rPr>
      </w:pPr>
      <w:r>
        <w:rPr>
          <w:rFonts w:ascii="Arial" w:hAnsi="Arial" w:cs="Arial"/>
          <w:sz w:val="18"/>
          <w:szCs w:val="18"/>
        </w:rPr>
        <w:t>Grunty i materiały nieprzydatne do budowy nasypów, określone w STWiORB D-02.03.01 pkt 2.2 powinny być wywiezione przez Wykonawcę na odkład. Zapewnienie terenów na odkład w gestii Wykonawcy. Inżynier/Inspektor Nadzoru może nakazać pozostawienie na terenie budowy gruntów, których czasowa nieprzydatność wynika jedynie z powodu zamarznięcia lub nadmiernej wilgotności.</w:t>
      </w:r>
    </w:p>
    <w:p w:rsidR="000D7726" w:rsidRDefault="000D7726">
      <w:pPr>
        <w:pStyle w:val="Standardowytekst"/>
        <w:numPr>
          <w:ilvl w:val="12"/>
          <w:numId w:val="0"/>
        </w:numPr>
        <w:ind w:firstLine="567"/>
        <w:rPr>
          <w:rFonts w:ascii="Arial" w:hAnsi="Arial" w:cs="Arial"/>
          <w:sz w:val="18"/>
          <w:szCs w:val="18"/>
        </w:rPr>
      </w:pPr>
    </w:p>
    <w:p w:rsidR="000D7726" w:rsidRDefault="000D7726">
      <w:pPr>
        <w:pStyle w:val="Standardowytekst"/>
        <w:numPr>
          <w:ilvl w:val="12"/>
          <w:numId w:val="0"/>
        </w:numPr>
        <w:ind w:firstLine="567"/>
        <w:rPr>
          <w:rFonts w:ascii="Arial" w:hAnsi="Arial" w:cs="Arial"/>
          <w:sz w:val="18"/>
          <w:szCs w:val="18"/>
        </w:rPr>
      </w:pPr>
    </w:p>
    <w:p w:rsidR="000D7726" w:rsidRDefault="00456F5F">
      <w:pPr>
        <w:pStyle w:val="Nagwek1"/>
        <w:numPr>
          <w:ilvl w:val="12"/>
          <w:numId w:val="0"/>
        </w:numPr>
        <w:jc w:val="left"/>
        <w:rPr>
          <w:rFonts w:ascii="Arial" w:hAnsi="Arial" w:cs="Arial"/>
          <w:b/>
          <w:bCs/>
          <w:sz w:val="18"/>
          <w:szCs w:val="18"/>
        </w:rPr>
      </w:pPr>
      <w:r>
        <w:rPr>
          <w:rFonts w:ascii="Arial" w:hAnsi="Arial" w:cs="Arial"/>
          <w:b/>
          <w:bCs/>
          <w:sz w:val="18"/>
          <w:szCs w:val="18"/>
        </w:rPr>
        <w:t xml:space="preserve">3. </w:t>
      </w:r>
      <w:bookmarkStart w:id="25" w:name="_Toc407161220"/>
      <w:bookmarkStart w:id="26" w:name="_Toc418994927"/>
      <w:bookmarkStart w:id="27" w:name="_Toc418996334"/>
      <w:bookmarkStart w:id="28" w:name="_Toc418996703"/>
      <w:bookmarkStart w:id="29" w:name="_Toc418997090"/>
      <w:bookmarkStart w:id="30" w:name="_Toc418998500"/>
      <w:bookmarkStart w:id="31" w:name="_Toc418998856"/>
      <w:bookmarkStart w:id="32" w:name="_Toc419000101"/>
      <w:r>
        <w:rPr>
          <w:rFonts w:ascii="Arial" w:hAnsi="Arial" w:cs="Arial"/>
          <w:b/>
          <w:bCs/>
          <w:sz w:val="18"/>
          <w:szCs w:val="18"/>
        </w:rPr>
        <w:t>Sprzęt</w:t>
      </w:r>
      <w:bookmarkEnd w:id="25"/>
      <w:bookmarkEnd w:id="26"/>
      <w:bookmarkEnd w:id="27"/>
      <w:bookmarkEnd w:id="28"/>
      <w:bookmarkEnd w:id="29"/>
      <w:bookmarkEnd w:id="30"/>
      <w:bookmarkEnd w:id="31"/>
      <w:bookmarkEnd w:id="32"/>
    </w:p>
    <w:p w:rsidR="000D7726" w:rsidRDefault="000D7726">
      <w:pPr>
        <w:rPr>
          <w:rFonts w:ascii="Arial" w:hAnsi="Arial" w:cs="Arial"/>
          <w:sz w:val="18"/>
          <w:szCs w:val="18"/>
        </w:rPr>
      </w:pPr>
    </w:p>
    <w:p w:rsidR="000D7726" w:rsidRDefault="00456F5F">
      <w:pPr>
        <w:numPr>
          <w:ilvl w:val="12"/>
          <w:numId w:val="0"/>
        </w:numPr>
        <w:jc w:val="both"/>
        <w:rPr>
          <w:rFonts w:ascii="Arial" w:hAnsi="Arial" w:cs="Arial"/>
          <w:b/>
          <w:bCs/>
          <w:sz w:val="18"/>
          <w:szCs w:val="18"/>
        </w:rPr>
      </w:pPr>
      <w:r>
        <w:rPr>
          <w:rFonts w:ascii="Arial" w:hAnsi="Arial" w:cs="Arial"/>
          <w:b/>
          <w:bCs/>
          <w:sz w:val="18"/>
          <w:szCs w:val="18"/>
        </w:rPr>
        <w:t>3.1. Ogólne wymagania dotyczące sprzętu</w:t>
      </w:r>
    </w:p>
    <w:p w:rsidR="000D7726" w:rsidRDefault="00456F5F">
      <w:pPr>
        <w:pStyle w:val="Standardowytekst"/>
        <w:numPr>
          <w:ilvl w:val="12"/>
          <w:numId w:val="0"/>
        </w:numPr>
        <w:overflowPunct/>
        <w:autoSpaceDE/>
        <w:autoSpaceDN/>
        <w:adjustRightInd/>
        <w:ind w:firstLine="567"/>
        <w:textAlignment w:val="auto"/>
        <w:rPr>
          <w:rFonts w:ascii="Arial" w:hAnsi="Arial" w:cs="Arial"/>
          <w:sz w:val="18"/>
          <w:szCs w:val="18"/>
        </w:rPr>
      </w:pPr>
      <w:r>
        <w:rPr>
          <w:rFonts w:ascii="Arial" w:hAnsi="Arial" w:cs="Arial"/>
          <w:sz w:val="18"/>
          <w:szCs w:val="18"/>
        </w:rPr>
        <w:t>Ogólne wymagania i ustalenia dotyczące sprzętu określono w STWiORB D-M-00.00.00. pkt 3.</w:t>
      </w:r>
    </w:p>
    <w:p w:rsidR="000D7726" w:rsidRDefault="000D7726">
      <w:pPr>
        <w:numPr>
          <w:ilvl w:val="12"/>
          <w:numId w:val="0"/>
        </w:numPr>
        <w:jc w:val="both"/>
        <w:rPr>
          <w:rFonts w:ascii="Arial" w:hAnsi="Arial" w:cs="Arial"/>
          <w:sz w:val="18"/>
          <w:szCs w:val="18"/>
        </w:rPr>
      </w:pPr>
    </w:p>
    <w:p w:rsidR="000D7726" w:rsidRDefault="00456F5F">
      <w:pPr>
        <w:pStyle w:val="Nagwek2"/>
        <w:numPr>
          <w:ilvl w:val="12"/>
          <w:numId w:val="0"/>
        </w:numPr>
        <w:jc w:val="left"/>
        <w:rPr>
          <w:rFonts w:ascii="Arial" w:hAnsi="Arial" w:cs="Arial"/>
          <w:sz w:val="18"/>
          <w:szCs w:val="18"/>
        </w:rPr>
      </w:pPr>
      <w:bookmarkStart w:id="33" w:name="_Toc407161190"/>
      <w:r>
        <w:rPr>
          <w:rFonts w:ascii="Arial" w:hAnsi="Arial" w:cs="Arial"/>
          <w:sz w:val="18"/>
          <w:szCs w:val="18"/>
        </w:rPr>
        <w:t>3.2. Sprzęt do robót ziemnych</w:t>
      </w:r>
      <w:bookmarkEnd w:id="33"/>
    </w:p>
    <w:p w:rsidR="000D7726" w:rsidRDefault="00456F5F">
      <w:pPr>
        <w:pStyle w:val="Standardowytekst"/>
        <w:numPr>
          <w:ilvl w:val="12"/>
          <w:numId w:val="0"/>
        </w:numPr>
        <w:ind w:firstLine="567"/>
        <w:jc w:val="left"/>
        <w:rPr>
          <w:rFonts w:ascii="Arial" w:hAnsi="Arial" w:cs="Arial"/>
          <w:sz w:val="18"/>
          <w:szCs w:val="18"/>
        </w:rPr>
      </w:pPr>
      <w:r>
        <w:rPr>
          <w:rFonts w:ascii="Arial" w:hAnsi="Arial" w:cs="Arial"/>
          <w:sz w:val="18"/>
          <w:szCs w:val="18"/>
        </w:rPr>
        <w:t>Wykonawca przystępujący do wykonania robót ziemnych powinien wykazać się możliwością korzystania z następującego sprzętu do:</w:t>
      </w:r>
    </w:p>
    <w:p w:rsidR="000D7726" w:rsidRDefault="00456F5F">
      <w:pPr>
        <w:pStyle w:val="Standardowytekst"/>
        <w:numPr>
          <w:ilvl w:val="0"/>
          <w:numId w:val="27"/>
        </w:numPr>
        <w:jc w:val="left"/>
        <w:rPr>
          <w:rFonts w:ascii="Arial" w:hAnsi="Arial" w:cs="Arial"/>
          <w:sz w:val="18"/>
          <w:szCs w:val="18"/>
        </w:rPr>
      </w:pPr>
      <w:r>
        <w:rPr>
          <w:rFonts w:ascii="Arial" w:hAnsi="Arial" w:cs="Arial"/>
          <w:sz w:val="18"/>
          <w:szCs w:val="18"/>
        </w:rPr>
        <w:t>odspajania i wydobywania gruntów (narzędzia mechaniczne, młoty pneumatyczne, zrywarki, koparki, ładowarki, wiertarki mechaniczne itp.),</w:t>
      </w:r>
    </w:p>
    <w:p w:rsidR="000D7726" w:rsidRDefault="00456F5F">
      <w:pPr>
        <w:pStyle w:val="Standardowytekst"/>
        <w:numPr>
          <w:ilvl w:val="0"/>
          <w:numId w:val="27"/>
        </w:numPr>
        <w:jc w:val="left"/>
        <w:rPr>
          <w:rFonts w:ascii="Arial" w:hAnsi="Arial" w:cs="Arial"/>
          <w:sz w:val="18"/>
          <w:szCs w:val="18"/>
        </w:rPr>
      </w:pPr>
      <w:r>
        <w:rPr>
          <w:rFonts w:ascii="Arial" w:hAnsi="Arial" w:cs="Arial"/>
          <w:sz w:val="18"/>
          <w:szCs w:val="18"/>
        </w:rPr>
        <w:t>jednoczesnego wydobywania i przemieszczania gruntów (spycharki, zgarniarki, równiarki, urządzenia do hydromechanizacji itp.),</w:t>
      </w:r>
    </w:p>
    <w:p w:rsidR="000D7726" w:rsidRDefault="00456F5F">
      <w:pPr>
        <w:pStyle w:val="Standardowytekst"/>
        <w:numPr>
          <w:ilvl w:val="0"/>
          <w:numId w:val="27"/>
        </w:numPr>
        <w:jc w:val="left"/>
        <w:rPr>
          <w:rFonts w:ascii="Arial" w:hAnsi="Arial" w:cs="Arial"/>
          <w:sz w:val="18"/>
          <w:szCs w:val="18"/>
        </w:rPr>
      </w:pPr>
      <w:r>
        <w:rPr>
          <w:rFonts w:ascii="Arial" w:hAnsi="Arial" w:cs="Arial"/>
          <w:sz w:val="18"/>
          <w:szCs w:val="18"/>
        </w:rPr>
        <w:t>transportu mas ziemnych (samochody wywrotki, samochody skrzyniowe, taśmociągi itp.),</w:t>
      </w:r>
    </w:p>
    <w:p w:rsidR="000D7726" w:rsidRDefault="00456F5F">
      <w:pPr>
        <w:pStyle w:val="Standardowytekst"/>
        <w:numPr>
          <w:ilvl w:val="0"/>
          <w:numId w:val="27"/>
        </w:numPr>
        <w:jc w:val="left"/>
        <w:rPr>
          <w:rFonts w:ascii="Arial" w:hAnsi="Arial" w:cs="Arial"/>
          <w:sz w:val="18"/>
          <w:szCs w:val="18"/>
        </w:rPr>
      </w:pPr>
      <w:r>
        <w:rPr>
          <w:rFonts w:ascii="Arial" w:hAnsi="Arial" w:cs="Arial"/>
          <w:sz w:val="18"/>
          <w:szCs w:val="18"/>
        </w:rPr>
        <w:t>sprzętu zagęszczającego (walce, ubijaki, płyty wibracyjne itp.).</w:t>
      </w:r>
    </w:p>
    <w:p w:rsidR="000D7726" w:rsidRDefault="000D7726">
      <w:pPr>
        <w:pStyle w:val="Standardowytekst"/>
        <w:ind w:left="283"/>
        <w:jc w:val="left"/>
        <w:rPr>
          <w:rFonts w:ascii="Arial" w:hAnsi="Arial" w:cs="Arial"/>
          <w:sz w:val="18"/>
          <w:szCs w:val="18"/>
        </w:rPr>
      </w:pPr>
    </w:p>
    <w:p w:rsidR="000D7726" w:rsidRDefault="000D7726">
      <w:pPr>
        <w:pStyle w:val="Standardowytekst"/>
        <w:ind w:left="283"/>
        <w:jc w:val="left"/>
        <w:rPr>
          <w:rFonts w:ascii="Arial" w:hAnsi="Arial" w:cs="Arial"/>
          <w:sz w:val="18"/>
          <w:szCs w:val="18"/>
        </w:rPr>
      </w:pPr>
    </w:p>
    <w:p w:rsidR="000D7726" w:rsidRDefault="00456F5F">
      <w:pPr>
        <w:pStyle w:val="Nagwek1"/>
        <w:jc w:val="left"/>
        <w:rPr>
          <w:rFonts w:ascii="Arial" w:hAnsi="Arial" w:cs="Arial"/>
          <w:b/>
          <w:bCs/>
          <w:sz w:val="18"/>
          <w:szCs w:val="18"/>
        </w:rPr>
      </w:pPr>
      <w:bookmarkStart w:id="34" w:name="_Toc407161221"/>
      <w:bookmarkStart w:id="35" w:name="_Toc418994928"/>
      <w:bookmarkStart w:id="36" w:name="_Toc418996335"/>
      <w:bookmarkStart w:id="37" w:name="_Toc418996704"/>
      <w:bookmarkStart w:id="38" w:name="_Toc418997091"/>
      <w:bookmarkStart w:id="39" w:name="_Toc418998501"/>
      <w:bookmarkStart w:id="40" w:name="_Toc418998857"/>
      <w:bookmarkStart w:id="41" w:name="_Toc419000102"/>
      <w:r>
        <w:rPr>
          <w:rFonts w:ascii="Arial" w:hAnsi="Arial" w:cs="Arial"/>
          <w:b/>
          <w:bCs/>
          <w:sz w:val="18"/>
          <w:szCs w:val="18"/>
        </w:rPr>
        <w:t>4. Transport</w:t>
      </w:r>
      <w:bookmarkEnd w:id="34"/>
      <w:bookmarkEnd w:id="35"/>
      <w:bookmarkEnd w:id="36"/>
      <w:bookmarkEnd w:id="37"/>
      <w:bookmarkEnd w:id="38"/>
      <w:bookmarkEnd w:id="39"/>
      <w:bookmarkEnd w:id="40"/>
      <w:bookmarkEnd w:id="41"/>
    </w:p>
    <w:p w:rsidR="000D7726" w:rsidRDefault="000D7726">
      <w:pPr>
        <w:rPr>
          <w:rFonts w:ascii="Arial" w:hAnsi="Arial" w:cs="Arial"/>
          <w:sz w:val="18"/>
          <w:szCs w:val="18"/>
        </w:rPr>
      </w:pPr>
    </w:p>
    <w:p w:rsidR="000D7726" w:rsidRDefault="00456F5F">
      <w:pPr>
        <w:pStyle w:val="StylIwony"/>
        <w:spacing w:before="0" w:after="0"/>
        <w:jc w:val="left"/>
        <w:rPr>
          <w:rFonts w:ascii="Arial" w:hAnsi="Arial" w:cs="Arial"/>
          <w:b/>
          <w:bCs/>
          <w:sz w:val="18"/>
          <w:szCs w:val="18"/>
        </w:rPr>
      </w:pPr>
      <w:r>
        <w:rPr>
          <w:rFonts w:ascii="Arial" w:hAnsi="Arial" w:cs="Arial"/>
          <w:b/>
          <w:bCs/>
          <w:sz w:val="18"/>
          <w:szCs w:val="18"/>
        </w:rPr>
        <w:t>4.1. Ogólne wymagania dotyczące transportu</w:t>
      </w:r>
    </w:p>
    <w:p w:rsidR="000D7726" w:rsidRDefault="00456F5F">
      <w:pPr>
        <w:pStyle w:val="StylIwony"/>
        <w:spacing w:before="0"/>
        <w:ind w:firstLine="567"/>
        <w:jc w:val="left"/>
        <w:rPr>
          <w:rFonts w:ascii="Arial" w:hAnsi="Arial" w:cs="Arial"/>
          <w:sz w:val="18"/>
          <w:szCs w:val="18"/>
        </w:rPr>
      </w:pPr>
      <w:r>
        <w:rPr>
          <w:rFonts w:ascii="Arial" w:hAnsi="Arial" w:cs="Arial"/>
          <w:sz w:val="18"/>
          <w:szCs w:val="18"/>
        </w:rPr>
        <w:t>Ogólne wymagania i ustalenia dotyczące transportu określono w STWiORB D-M 00.00.00. pkt 4</w:t>
      </w:r>
    </w:p>
    <w:p w:rsidR="000D7726" w:rsidRDefault="00456F5F">
      <w:pPr>
        <w:pStyle w:val="Nagwek2"/>
        <w:jc w:val="left"/>
        <w:rPr>
          <w:rFonts w:ascii="Arial" w:hAnsi="Arial" w:cs="Arial"/>
          <w:sz w:val="18"/>
          <w:szCs w:val="18"/>
        </w:rPr>
      </w:pPr>
      <w:bookmarkStart w:id="42" w:name="_Toc405615045"/>
      <w:bookmarkStart w:id="43" w:name="_Toc407161193"/>
      <w:r>
        <w:rPr>
          <w:rFonts w:ascii="Arial" w:hAnsi="Arial" w:cs="Arial"/>
          <w:sz w:val="18"/>
          <w:szCs w:val="18"/>
        </w:rPr>
        <w:t>4.2. Transport gruntów</w:t>
      </w:r>
      <w:bookmarkEnd w:id="42"/>
      <w:bookmarkEnd w:id="43"/>
    </w:p>
    <w:p w:rsidR="000D7726" w:rsidRDefault="00456F5F">
      <w:pPr>
        <w:pStyle w:val="Standardowytekst"/>
        <w:ind w:firstLine="567"/>
        <w:rPr>
          <w:rFonts w:ascii="Arial" w:hAnsi="Arial" w:cs="Arial"/>
          <w:sz w:val="18"/>
          <w:szCs w:val="18"/>
        </w:rPr>
      </w:pPr>
      <w:r>
        <w:rPr>
          <w:rFonts w:ascii="Arial" w:hAnsi="Arial" w:cs="Arial"/>
          <w:sz w:val="18"/>
          <w:szCs w:val="18"/>
        </w:rPr>
        <w:tab/>
        <w:t xml:space="preserve">Wybór środków transportowych oraz metod transportu powinien być dostosowany do rodzaju gruntu (materiału), jego objętości, sposobu odspajania i załadunku oraz do odległości transportu. Wydajność środków </w:t>
      </w:r>
      <w:r>
        <w:rPr>
          <w:rFonts w:ascii="Arial" w:hAnsi="Arial" w:cs="Arial"/>
          <w:sz w:val="18"/>
          <w:szCs w:val="18"/>
        </w:rPr>
        <w:lastRenderedPageBreak/>
        <w:t>transportowych powinna być ponadto dostosowana do wydajności sprzętu stosowanego do urabiania i wbudowania gruntu (materiału).</w:t>
      </w:r>
    </w:p>
    <w:p w:rsidR="000D7726" w:rsidRDefault="00456F5F">
      <w:pPr>
        <w:pStyle w:val="Standardowytekst"/>
        <w:ind w:firstLine="567"/>
        <w:rPr>
          <w:rFonts w:ascii="Arial" w:hAnsi="Arial" w:cs="Arial"/>
          <w:sz w:val="18"/>
          <w:szCs w:val="18"/>
        </w:rPr>
      </w:pPr>
      <w:r>
        <w:rPr>
          <w:rFonts w:ascii="Arial" w:hAnsi="Arial" w:cs="Arial"/>
          <w:sz w:val="18"/>
          <w:szCs w:val="18"/>
        </w:rPr>
        <w:tab/>
        <w:t>Zwiększenie odległości transportu ponad wartości zatwierdzone nie może być podstawą roszczeń Wykonawcy, dotyczących dodatkowej zapłaty za transport, o ile zwiększone odległości nie zostały wcześniej zaakceptowane na piśmie przez Inżyniera/Inspektora Nadzoru.</w:t>
      </w:r>
    </w:p>
    <w:p w:rsidR="000D7726" w:rsidRDefault="000D7726">
      <w:pPr>
        <w:pStyle w:val="Standardowytekst"/>
        <w:ind w:left="283"/>
        <w:jc w:val="left"/>
        <w:rPr>
          <w:rFonts w:ascii="Arial" w:hAnsi="Arial" w:cs="Arial"/>
          <w:sz w:val="18"/>
          <w:szCs w:val="18"/>
        </w:rPr>
      </w:pPr>
    </w:p>
    <w:p w:rsidR="000D7726" w:rsidRDefault="000D7726">
      <w:pPr>
        <w:pStyle w:val="Standardowytekst"/>
        <w:ind w:left="283"/>
        <w:jc w:val="left"/>
        <w:rPr>
          <w:rFonts w:ascii="Arial" w:hAnsi="Arial" w:cs="Arial"/>
          <w:sz w:val="18"/>
          <w:szCs w:val="18"/>
        </w:rPr>
      </w:pPr>
    </w:p>
    <w:p w:rsidR="000D7726" w:rsidRDefault="00456F5F">
      <w:pPr>
        <w:pStyle w:val="Nagwek1"/>
        <w:jc w:val="left"/>
        <w:rPr>
          <w:rFonts w:ascii="Arial" w:hAnsi="Arial" w:cs="Arial"/>
          <w:b/>
          <w:bCs/>
          <w:sz w:val="18"/>
          <w:szCs w:val="18"/>
        </w:rPr>
      </w:pPr>
      <w:bookmarkStart w:id="44" w:name="_Toc407161222"/>
      <w:bookmarkStart w:id="45" w:name="_Toc418994929"/>
      <w:bookmarkStart w:id="46" w:name="_Toc418996336"/>
      <w:bookmarkStart w:id="47" w:name="_Toc418996705"/>
      <w:bookmarkStart w:id="48" w:name="_Toc418997092"/>
      <w:bookmarkStart w:id="49" w:name="_Toc418998502"/>
      <w:bookmarkStart w:id="50" w:name="_Toc418998858"/>
      <w:bookmarkStart w:id="51" w:name="_Toc419000103"/>
      <w:r>
        <w:rPr>
          <w:rFonts w:ascii="Arial" w:hAnsi="Arial" w:cs="Arial"/>
          <w:b/>
          <w:bCs/>
          <w:sz w:val="18"/>
          <w:szCs w:val="18"/>
        </w:rPr>
        <w:t>5. Wykonanie robót</w:t>
      </w:r>
      <w:bookmarkEnd w:id="44"/>
      <w:bookmarkEnd w:id="45"/>
      <w:bookmarkEnd w:id="46"/>
      <w:bookmarkEnd w:id="47"/>
      <w:bookmarkEnd w:id="48"/>
      <w:bookmarkEnd w:id="49"/>
      <w:bookmarkEnd w:id="50"/>
      <w:bookmarkEnd w:id="51"/>
    </w:p>
    <w:p w:rsidR="000D7726" w:rsidRDefault="000D7726">
      <w:pPr>
        <w:rPr>
          <w:rFonts w:ascii="Arial" w:hAnsi="Arial" w:cs="Arial"/>
          <w:sz w:val="18"/>
          <w:szCs w:val="18"/>
        </w:rPr>
      </w:pPr>
    </w:p>
    <w:p w:rsidR="000D7726" w:rsidRDefault="00456F5F">
      <w:pPr>
        <w:jc w:val="both"/>
        <w:rPr>
          <w:rFonts w:ascii="Arial" w:hAnsi="Arial" w:cs="Arial"/>
          <w:b/>
          <w:bCs/>
          <w:sz w:val="18"/>
          <w:szCs w:val="18"/>
        </w:rPr>
      </w:pPr>
      <w:r>
        <w:rPr>
          <w:rFonts w:ascii="Arial" w:hAnsi="Arial" w:cs="Arial"/>
          <w:b/>
          <w:bCs/>
          <w:sz w:val="18"/>
          <w:szCs w:val="18"/>
        </w:rPr>
        <w:t>5.1. Ogólne zasady prowadzenia robót.</w:t>
      </w:r>
    </w:p>
    <w:p w:rsidR="000D7726" w:rsidRDefault="00456F5F">
      <w:pPr>
        <w:ind w:firstLine="567"/>
        <w:jc w:val="both"/>
        <w:rPr>
          <w:rFonts w:ascii="Arial" w:hAnsi="Arial" w:cs="Arial"/>
          <w:sz w:val="18"/>
          <w:szCs w:val="18"/>
        </w:rPr>
      </w:pPr>
      <w:r>
        <w:rPr>
          <w:rFonts w:ascii="Arial" w:hAnsi="Arial" w:cs="Arial"/>
          <w:sz w:val="18"/>
          <w:szCs w:val="18"/>
        </w:rPr>
        <w:t>Ogólne zasady prowadzenia robót podano w STWiORB D-M 00.00.00. pkt 5.</w:t>
      </w:r>
    </w:p>
    <w:p w:rsidR="000D7726" w:rsidRDefault="000D7726">
      <w:pPr>
        <w:pStyle w:val="Nagwek2"/>
        <w:jc w:val="left"/>
        <w:rPr>
          <w:rFonts w:ascii="Arial" w:hAnsi="Arial" w:cs="Arial"/>
          <w:sz w:val="18"/>
          <w:szCs w:val="18"/>
        </w:rPr>
      </w:pPr>
      <w:bookmarkStart w:id="52" w:name="_Toc407161223"/>
    </w:p>
    <w:p w:rsidR="000D7726" w:rsidRDefault="00456F5F">
      <w:pPr>
        <w:pStyle w:val="Nagwek2"/>
        <w:jc w:val="left"/>
        <w:rPr>
          <w:rFonts w:ascii="Arial" w:hAnsi="Arial" w:cs="Arial"/>
          <w:sz w:val="18"/>
          <w:szCs w:val="18"/>
        </w:rPr>
      </w:pPr>
      <w:r>
        <w:rPr>
          <w:rFonts w:ascii="Arial" w:hAnsi="Arial" w:cs="Arial"/>
          <w:sz w:val="18"/>
          <w:szCs w:val="18"/>
        </w:rPr>
        <w:t>5.1. Zasady prowadzenia robót</w:t>
      </w:r>
      <w:bookmarkEnd w:id="52"/>
    </w:p>
    <w:p w:rsidR="000D7726" w:rsidRDefault="00456F5F">
      <w:pPr>
        <w:ind w:firstLine="567"/>
        <w:jc w:val="both"/>
        <w:rPr>
          <w:rFonts w:ascii="Arial" w:hAnsi="Arial" w:cs="Arial"/>
          <w:sz w:val="18"/>
          <w:szCs w:val="18"/>
        </w:rPr>
      </w:pPr>
      <w:r>
        <w:rPr>
          <w:rFonts w:ascii="Arial" w:hAnsi="Arial" w:cs="Arial"/>
          <w:sz w:val="18"/>
          <w:szCs w:val="18"/>
        </w:rP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0D7726" w:rsidRDefault="00456F5F">
      <w:pPr>
        <w:jc w:val="both"/>
        <w:rPr>
          <w:rFonts w:ascii="Arial" w:hAnsi="Arial" w:cs="Arial"/>
          <w:sz w:val="18"/>
          <w:szCs w:val="18"/>
        </w:rPr>
      </w:pPr>
      <w:r>
        <w:rPr>
          <w:rFonts w:ascii="Arial" w:hAnsi="Arial" w:cs="Arial"/>
          <w:sz w:val="18"/>
          <w:szCs w:val="18"/>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Inżyniera/Inspektora Nadzoru.</w:t>
      </w:r>
    </w:p>
    <w:p w:rsidR="000D7726" w:rsidRDefault="00456F5F">
      <w:pPr>
        <w:jc w:val="both"/>
        <w:rPr>
          <w:rFonts w:ascii="Arial" w:hAnsi="Arial" w:cs="Arial"/>
          <w:sz w:val="18"/>
          <w:szCs w:val="18"/>
        </w:rPr>
      </w:pPr>
      <w:r>
        <w:rPr>
          <w:rFonts w:ascii="Arial" w:hAnsi="Arial" w:cs="Arial"/>
          <w:sz w:val="18"/>
          <w:szCs w:val="18"/>
        </w:rPr>
        <w:tab/>
        <w:t>Odspojone grunty przydatne do wykonania nasypów powinny być bezpośrednio wbudowane w nasyp lub przewiezione na odkład. O ile Inżynier/Inspektor Nadzoru dopuści czasowe składowanie odspojonych gruntów, należy je odpowiednio zabezpieczyć przed nadmiernym zawilgoceniem. Miejsce odkładu ma zabezpieczyć  Wykonawca i musi ono być zaakceptowane przez Inspektora Nadzoru.</w:t>
      </w:r>
    </w:p>
    <w:p w:rsidR="000D7726" w:rsidRDefault="000D7726">
      <w:pPr>
        <w:pStyle w:val="Nagwek2"/>
        <w:jc w:val="both"/>
        <w:rPr>
          <w:rFonts w:ascii="Arial" w:hAnsi="Arial" w:cs="Arial"/>
          <w:sz w:val="18"/>
          <w:szCs w:val="18"/>
        </w:rPr>
      </w:pPr>
      <w:bookmarkStart w:id="53" w:name="_Toc407161224"/>
    </w:p>
    <w:p w:rsidR="000D7726" w:rsidRDefault="00456F5F">
      <w:pPr>
        <w:pStyle w:val="Nagwek2"/>
        <w:jc w:val="both"/>
        <w:rPr>
          <w:rFonts w:ascii="Arial" w:hAnsi="Arial" w:cs="Arial"/>
          <w:sz w:val="18"/>
          <w:szCs w:val="18"/>
        </w:rPr>
      </w:pPr>
      <w:r>
        <w:rPr>
          <w:rFonts w:ascii="Arial" w:hAnsi="Arial" w:cs="Arial"/>
          <w:sz w:val="18"/>
          <w:szCs w:val="18"/>
        </w:rPr>
        <w:t>5.2. Wymagania dotyczące zagęszczenia</w:t>
      </w:r>
      <w:bookmarkEnd w:id="53"/>
      <w:r>
        <w:rPr>
          <w:rFonts w:ascii="Arial" w:hAnsi="Arial" w:cs="Arial"/>
          <w:sz w:val="18"/>
          <w:szCs w:val="18"/>
        </w:rPr>
        <w:t xml:space="preserve"> i nośności gruntu</w:t>
      </w:r>
    </w:p>
    <w:p w:rsidR="000D7726" w:rsidRDefault="00456F5F">
      <w:pPr>
        <w:jc w:val="both"/>
        <w:rPr>
          <w:rFonts w:ascii="Arial" w:hAnsi="Arial" w:cs="Arial"/>
          <w:sz w:val="18"/>
          <w:szCs w:val="18"/>
        </w:rPr>
      </w:pPr>
      <w:r>
        <w:rPr>
          <w:rFonts w:ascii="Arial" w:hAnsi="Arial" w:cs="Arial"/>
          <w:sz w:val="18"/>
          <w:szCs w:val="18"/>
        </w:rPr>
        <w:tab/>
      </w:r>
    </w:p>
    <w:p w:rsidR="000D7726" w:rsidRDefault="00456F5F">
      <w:pPr>
        <w:jc w:val="both"/>
        <w:rPr>
          <w:rFonts w:ascii="Arial" w:hAnsi="Arial" w:cs="Arial"/>
          <w:sz w:val="18"/>
          <w:szCs w:val="18"/>
        </w:rPr>
      </w:pPr>
      <w:r>
        <w:rPr>
          <w:rFonts w:ascii="Arial" w:hAnsi="Arial" w:cs="Arial"/>
          <w:sz w:val="18"/>
          <w:szCs w:val="18"/>
        </w:rPr>
        <w:t>A. Wskaźnik zagęszczenia Is</w:t>
      </w:r>
    </w:p>
    <w:p w:rsidR="000D7726" w:rsidRDefault="000D7726">
      <w:pPr>
        <w:jc w:val="both"/>
        <w:rPr>
          <w:rFonts w:ascii="Arial" w:hAnsi="Arial" w:cs="Arial"/>
          <w:sz w:val="18"/>
          <w:szCs w:val="18"/>
        </w:rPr>
      </w:pPr>
    </w:p>
    <w:p w:rsidR="000D7726" w:rsidRDefault="00456F5F">
      <w:pPr>
        <w:jc w:val="both"/>
        <w:rPr>
          <w:rFonts w:ascii="Arial" w:hAnsi="Arial" w:cs="Arial"/>
          <w:sz w:val="18"/>
          <w:szCs w:val="18"/>
        </w:rPr>
      </w:pPr>
      <w:r>
        <w:rPr>
          <w:rFonts w:ascii="Arial" w:hAnsi="Arial" w:cs="Arial"/>
          <w:sz w:val="18"/>
          <w:szCs w:val="18"/>
        </w:rPr>
        <w:t>Zagęszczenie gruntu w wykopach i miejscach zerowych robót ziemnych powinno spełniać wymagania, dotyczące minimalnej wartości wskaźnika zagęszczenia (Is), podanego w tablicy 1.</w:t>
      </w:r>
    </w:p>
    <w:p w:rsidR="000D7726" w:rsidRDefault="000D7726">
      <w:pPr>
        <w:jc w:val="both"/>
        <w:rPr>
          <w:rFonts w:ascii="Arial" w:hAnsi="Arial" w:cs="Arial"/>
          <w:sz w:val="18"/>
          <w:szCs w:val="18"/>
        </w:rPr>
      </w:pPr>
    </w:p>
    <w:p w:rsidR="000D7726" w:rsidRDefault="000D7726">
      <w:pPr>
        <w:jc w:val="both"/>
        <w:rPr>
          <w:rFonts w:ascii="Arial" w:hAnsi="Arial" w:cs="Arial"/>
          <w:sz w:val="18"/>
          <w:szCs w:val="18"/>
        </w:rPr>
      </w:pPr>
    </w:p>
    <w:p w:rsidR="000D7726" w:rsidRDefault="00456F5F">
      <w:pPr>
        <w:jc w:val="both"/>
        <w:rPr>
          <w:rFonts w:ascii="Arial" w:hAnsi="Arial" w:cs="Arial"/>
          <w:sz w:val="18"/>
          <w:szCs w:val="18"/>
        </w:rPr>
      </w:pPr>
      <w:r>
        <w:rPr>
          <w:rFonts w:ascii="Arial" w:hAnsi="Arial" w:cs="Arial"/>
          <w:sz w:val="18"/>
          <w:szCs w:val="18"/>
        </w:rPr>
        <w:t xml:space="preserve"> Tablica 1. Minimalne wartości wskaźnika zagęszczenia w wykopach i miejscach zerowych robót ziemnych </w:t>
      </w:r>
    </w:p>
    <w:p w:rsidR="000D7726" w:rsidRDefault="000D7726">
      <w:pPr>
        <w:jc w:val="both"/>
        <w:rPr>
          <w:rFonts w:ascii="Arial" w:hAnsi="Arial" w:cs="Arial"/>
          <w:sz w:val="18"/>
          <w:szCs w:val="18"/>
        </w:rPr>
      </w:pPr>
    </w:p>
    <w:tbl>
      <w:tblPr>
        <w:tblW w:w="7580" w:type="dxa"/>
        <w:jc w:val="center"/>
        <w:tblLayout w:type="fixed"/>
        <w:tblCellMar>
          <w:left w:w="70" w:type="dxa"/>
          <w:right w:w="70" w:type="dxa"/>
        </w:tblCellMar>
        <w:tblLook w:val="04A0" w:firstRow="1" w:lastRow="0" w:firstColumn="1" w:lastColumn="0" w:noHBand="0" w:noVBand="1"/>
      </w:tblPr>
      <w:tblGrid>
        <w:gridCol w:w="1958"/>
        <w:gridCol w:w="1780"/>
        <w:gridCol w:w="1356"/>
        <w:gridCol w:w="1210"/>
        <w:gridCol w:w="1276"/>
      </w:tblGrid>
      <w:tr w:rsidR="000D7726">
        <w:trPr>
          <w:trHeight w:val="533"/>
          <w:jc w:val="center"/>
        </w:trPr>
        <w:tc>
          <w:tcPr>
            <w:tcW w:w="1958" w:type="dxa"/>
            <w:vMerge w:val="restart"/>
            <w:tcBorders>
              <w:top w:val="single" w:sz="6" w:space="0" w:color="auto"/>
              <w:left w:val="single" w:sz="6" w:space="0" w:color="auto"/>
              <w:right w:val="nil"/>
            </w:tcBorders>
            <w:vAlign w:val="center"/>
            <w:hideMark/>
          </w:tcPr>
          <w:p w:rsidR="000D7726" w:rsidRDefault="00456F5F">
            <w:pPr>
              <w:jc w:val="center"/>
              <w:rPr>
                <w:rFonts w:ascii="Arial" w:hAnsi="Arial" w:cs="Arial"/>
                <w:sz w:val="18"/>
                <w:szCs w:val="18"/>
              </w:rPr>
            </w:pPr>
            <w:r>
              <w:rPr>
                <w:rFonts w:ascii="Arial" w:hAnsi="Arial" w:cs="Arial"/>
                <w:sz w:val="18"/>
                <w:szCs w:val="18"/>
              </w:rPr>
              <w:t>Strefa korpusu</w:t>
            </w:r>
          </w:p>
        </w:tc>
        <w:tc>
          <w:tcPr>
            <w:tcW w:w="5622" w:type="dxa"/>
            <w:gridSpan w:val="4"/>
            <w:tcBorders>
              <w:top w:val="single" w:sz="6" w:space="0" w:color="auto"/>
              <w:left w:val="single" w:sz="6" w:space="0" w:color="auto"/>
              <w:bottom w:val="nil"/>
              <w:right w:val="single" w:sz="6" w:space="0" w:color="auto"/>
            </w:tcBorders>
            <w:vAlign w:val="center"/>
          </w:tcPr>
          <w:p w:rsidR="000D7726" w:rsidRDefault="00456F5F">
            <w:pPr>
              <w:jc w:val="center"/>
              <w:rPr>
                <w:rFonts w:ascii="Arial" w:hAnsi="Arial" w:cs="Arial"/>
                <w:sz w:val="18"/>
                <w:szCs w:val="18"/>
              </w:rPr>
            </w:pPr>
            <w:r>
              <w:rPr>
                <w:rFonts w:ascii="Arial" w:hAnsi="Arial" w:cs="Arial"/>
                <w:sz w:val="18"/>
                <w:szCs w:val="18"/>
              </w:rPr>
              <w:t>Minimalna wartość wskaźnika zagęszczenia Is:</w:t>
            </w:r>
          </w:p>
        </w:tc>
      </w:tr>
      <w:tr w:rsidR="000D7726">
        <w:trPr>
          <w:trHeight w:val="314"/>
          <w:jc w:val="center"/>
        </w:trPr>
        <w:tc>
          <w:tcPr>
            <w:tcW w:w="1958" w:type="dxa"/>
            <w:vMerge/>
            <w:tcBorders>
              <w:left w:val="single" w:sz="6" w:space="0" w:color="auto"/>
              <w:bottom w:val="nil"/>
              <w:right w:val="nil"/>
            </w:tcBorders>
            <w:vAlign w:val="center"/>
          </w:tcPr>
          <w:p w:rsidR="000D7726" w:rsidRDefault="000D7726">
            <w:pPr>
              <w:jc w:val="center"/>
              <w:rPr>
                <w:rFonts w:ascii="Arial" w:hAnsi="Arial" w:cs="Arial"/>
                <w:sz w:val="18"/>
                <w:szCs w:val="18"/>
              </w:rPr>
            </w:pPr>
          </w:p>
        </w:tc>
        <w:tc>
          <w:tcPr>
            <w:tcW w:w="1780" w:type="dxa"/>
            <w:vMerge w:val="restart"/>
            <w:tcBorders>
              <w:top w:val="single" w:sz="6" w:space="0" w:color="auto"/>
              <w:left w:val="single" w:sz="6" w:space="0" w:color="auto"/>
              <w:right w:val="single" w:sz="6" w:space="0" w:color="auto"/>
            </w:tcBorders>
            <w:vAlign w:val="center"/>
          </w:tcPr>
          <w:p w:rsidR="000D7726" w:rsidRDefault="00456F5F">
            <w:pPr>
              <w:jc w:val="center"/>
              <w:rPr>
                <w:rFonts w:ascii="Arial" w:hAnsi="Arial" w:cs="Arial"/>
                <w:sz w:val="18"/>
                <w:szCs w:val="18"/>
              </w:rPr>
            </w:pPr>
            <w:r>
              <w:rPr>
                <w:rFonts w:ascii="Arial" w:hAnsi="Arial" w:cs="Arial"/>
                <w:sz w:val="18"/>
                <w:szCs w:val="18"/>
              </w:rPr>
              <w:t>KR5 – KR7</w:t>
            </w:r>
          </w:p>
        </w:tc>
        <w:tc>
          <w:tcPr>
            <w:tcW w:w="2566" w:type="dxa"/>
            <w:gridSpan w:val="2"/>
            <w:tcBorders>
              <w:top w:val="single" w:sz="6" w:space="0" w:color="auto"/>
              <w:left w:val="single" w:sz="6" w:space="0" w:color="auto"/>
              <w:bottom w:val="nil"/>
              <w:right w:val="single" w:sz="6" w:space="0" w:color="auto"/>
            </w:tcBorders>
            <w:vAlign w:val="center"/>
          </w:tcPr>
          <w:p w:rsidR="000D7726" w:rsidRDefault="00456F5F">
            <w:pPr>
              <w:jc w:val="center"/>
              <w:rPr>
                <w:rFonts w:ascii="Arial" w:hAnsi="Arial" w:cs="Arial"/>
                <w:sz w:val="18"/>
                <w:szCs w:val="18"/>
              </w:rPr>
            </w:pPr>
            <w:r>
              <w:rPr>
                <w:rFonts w:ascii="Arial" w:hAnsi="Arial" w:cs="Arial"/>
                <w:sz w:val="18"/>
                <w:szCs w:val="18"/>
              </w:rPr>
              <w:t>Innych dróg</w:t>
            </w:r>
          </w:p>
        </w:tc>
        <w:tc>
          <w:tcPr>
            <w:tcW w:w="1276" w:type="dxa"/>
            <w:vMerge w:val="restart"/>
            <w:tcBorders>
              <w:top w:val="single" w:sz="6" w:space="0" w:color="auto"/>
              <w:left w:val="single" w:sz="6" w:space="0" w:color="auto"/>
              <w:right w:val="single" w:sz="6" w:space="0" w:color="auto"/>
            </w:tcBorders>
            <w:vAlign w:val="center"/>
          </w:tcPr>
          <w:p w:rsidR="000D7726" w:rsidRDefault="00456F5F">
            <w:pPr>
              <w:jc w:val="center"/>
              <w:rPr>
                <w:rFonts w:ascii="Arial" w:hAnsi="Arial" w:cs="Arial"/>
                <w:sz w:val="18"/>
                <w:szCs w:val="18"/>
              </w:rPr>
            </w:pPr>
            <w:r>
              <w:rPr>
                <w:rFonts w:ascii="Arial" w:hAnsi="Arial" w:cs="Arial"/>
                <w:sz w:val="18"/>
                <w:szCs w:val="18"/>
              </w:rPr>
              <w:t>Chodniki</w:t>
            </w:r>
          </w:p>
        </w:tc>
      </w:tr>
      <w:tr w:rsidR="000D7726">
        <w:trPr>
          <w:trHeight w:val="219"/>
          <w:jc w:val="center"/>
        </w:trPr>
        <w:tc>
          <w:tcPr>
            <w:tcW w:w="1958" w:type="dxa"/>
            <w:tcBorders>
              <w:top w:val="nil"/>
              <w:left w:val="single" w:sz="6" w:space="0" w:color="auto"/>
              <w:bottom w:val="double" w:sz="6" w:space="0" w:color="auto"/>
              <w:right w:val="nil"/>
            </w:tcBorders>
            <w:vAlign w:val="center"/>
            <w:hideMark/>
          </w:tcPr>
          <w:p w:rsidR="000D7726" w:rsidRDefault="000D7726">
            <w:pPr>
              <w:jc w:val="center"/>
              <w:rPr>
                <w:rFonts w:ascii="Arial" w:hAnsi="Arial" w:cs="Arial"/>
                <w:sz w:val="18"/>
                <w:szCs w:val="18"/>
              </w:rPr>
            </w:pPr>
          </w:p>
        </w:tc>
        <w:tc>
          <w:tcPr>
            <w:tcW w:w="1780" w:type="dxa"/>
            <w:vMerge/>
            <w:tcBorders>
              <w:left w:val="single" w:sz="6" w:space="0" w:color="auto"/>
              <w:bottom w:val="double" w:sz="6" w:space="0" w:color="auto"/>
              <w:right w:val="single" w:sz="6" w:space="0" w:color="auto"/>
            </w:tcBorders>
            <w:vAlign w:val="center"/>
            <w:hideMark/>
          </w:tcPr>
          <w:p w:rsidR="000D7726" w:rsidRDefault="000D7726">
            <w:pPr>
              <w:jc w:val="center"/>
              <w:rPr>
                <w:rFonts w:ascii="Arial" w:hAnsi="Arial" w:cs="Arial"/>
                <w:sz w:val="18"/>
                <w:szCs w:val="18"/>
              </w:rPr>
            </w:pPr>
          </w:p>
        </w:tc>
        <w:tc>
          <w:tcPr>
            <w:tcW w:w="1356" w:type="dxa"/>
            <w:tcBorders>
              <w:top w:val="single" w:sz="6" w:space="0" w:color="auto"/>
              <w:left w:val="single" w:sz="6" w:space="0" w:color="auto"/>
              <w:bottom w:val="double" w:sz="6" w:space="0" w:color="auto"/>
              <w:right w:val="single" w:sz="6" w:space="0" w:color="auto"/>
            </w:tcBorders>
            <w:vAlign w:val="center"/>
            <w:hideMark/>
          </w:tcPr>
          <w:p w:rsidR="000D7726" w:rsidRDefault="00456F5F">
            <w:pPr>
              <w:jc w:val="center"/>
              <w:rPr>
                <w:rFonts w:ascii="Arial" w:hAnsi="Arial" w:cs="Arial"/>
                <w:sz w:val="18"/>
                <w:szCs w:val="18"/>
              </w:rPr>
            </w:pPr>
            <w:r>
              <w:rPr>
                <w:rFonts w:ascii="Arial" w:hAnsi="Arial" w:cs="Arial"/>
                <w:sz w:val="18"/>
                <w:szCs w:val="18"/>
              </w:rPr>
              <w:t>KR3 – KR4</w:t>
            </w:r>
          </w:p>
        </w:tc>
        <w:tc>
          <w:tcPr>
            <w:tcW w:w="1210" w:type="dxa"/>
            <w:tcBorders>
              <w:top w:val="single" w:sz="6" w:space="0" w:color="auto"/>
              <w:left w:val="single" w:sz="6" w:space="0" w:color="auto"/>
              <w:bottom w:val="double" w:sz="6" w:space="0" w:color="auto"/>
              <w:right w:val="single" w:sz="6" w:space="0" w:color="auto"/>
            </w:tcBorders>
            <w:vAlign w:val="center"/>
          </w:tcPr>
          <w:p w:rsidR="000D7726" w:rsidRDefault="00456F5F">
            <w:pPr>
              <w:jc w:val="center"/>
              <w:rPr>
                <w:rFonts w:ascii="Arial" w:hAnsi="Arial" w:cs="Arial"/>
                <w:sz w:val="18"/>
                <w:szCs w:val="18"/>
              </w:rPr>
            </w:pPr>
            <w:r>
              <w:rPr>
                <w:rFonts w:ascii="Arial" w:hAnsi="Arial" w:cs="Arial"/>
                <w:sz w:val="18"/>
                <w:szCs w:val="18"/>
              </w:rPr>
              <w:t>KR1-KR2</w:t>
            </w:r>
          </w:p>
        </w:tc>
        <w:tc>
          <w:tcPr>
            <w:tcW w:w="1276" w:type="dxa"/>
            <w:vMerge/>
            <w:tcBorders>
              <w:left w:val="single" w:sz="6" w:space="0" w:color="auto"/>
              <w:bottom w:val="double" w:sz="6" w:space="0" w:color="auto"/>
              <w:right w:val="single" w:sz="6" w:space="0" w:color="auto"/>
            </w:tcBorders>
            <w:vAlign w:val="center"/>
          </w:tcPr>
          <w:p w:rsidR="000D7726" w:rsidRDefault="000D7726">
            <w:pPr>
              <w:jc w:val="center"/>
              <w:rPr>
                <w:rFonts w:ascii="Arial" w:hAnsi="Arial" w:cs="Arial"/>
                <w:sz w:val="18"/>
                <w:szCs w:val="18"/>
              </w:rPr>
            </w:pPr>
          </w:p>
        </w:tc>
      </w:tr>
      <w:tr w:rsidR="000D7726">
        <w:trPr>
          <w:trHeight w:val="581"/>
          <w:jc w:val="center"/>
        </w:trPr>
        <w:tc>
          <w:tcPr>
            <w:tcW w:w="1958" w:type="dxa"/>
            <w:tcBorders>
              <w:top w:val="nil"/>
              <w:left w:val="single" w:sz="6" w:space="0" w:color="auto"/>
              <w:bottom w:val="single" w:sz="6" w:space="0" w:color="auto"/>
              <w:right w:val="single" w:sz="6" w:space="0" w:color="auto"/>
            </w:tcBorders>
            <w:vAlign w:val="center"/>
            <w:hideMark/>
          </w:tcPr>
          <w:p w:rsidR="000D7726" w:rsidRDefault="00456F5F">
            <w:pPr>
              <w:jc w:val="center"/>
              <w:rPr>
                <w:rFonts w:ascii="Arial" w:hAnsi="Arial" w:cs="Arial"/>
                <w:sz w:val="18"/>
                <w:szCs w:val="18"/>
              </w:rPr>
            </w:pPr>
            <w:r>
              <w:rPr>
                <w:rFonts w:ascii="Arial" w:hAnsi="Arial" w:cs="Arial"/>
                <w:sz w:val="18"/>
                <w:szCs w:val="18"/>
              </w:rPr>
              <w:t xml:space="preserve">Górna warstwa do głębokości </w:t>
            </w:r>
            <w:r>
              <w:rPr>
                <w:rFonts w:ascii="Arial" w:hAnsi="Arial" w:cs="Arial"/>
                <w:sz w:val="18"/>
                <w:szCs w:val="18"/>
              </w:rPr>
              <w:br/>
              <w:t>0,5 m</w:t>
            </w:r>
          </w:p>
        </w:tc>
        <w:tc>
          <w:tcPr>
            <w:tcW w:w="1780" w:type="dxa"/>
            <w:tcBorders>
              <w:top w:val="nil"/>
              <w:left w:val="single" w:sz="6" w:space="0" w:color="auto"/>
              <w:bottom w:val="single" w:sz="6" w:space="0" w:color="auto"/>
              <w:right w:val="single" w:sz="6" w:space="0" w:color="auto"/>
            </w:tcBorders>
            <w:vAlign w:val="center"/>
            <w:hideMark/>
          </w:tcPr>
          <w:p w:rsidR="000D7726" w:rsidRDefault="00456F5F">
            <w:pPr>
              <w:jc w:val="center"/>
              <w:rPr>
                <w:rFonts w:ascii="Arial" w:hAnsi="Arial" w:cs="Arial"/>
                <w:sz w:val="18"/>
                <w:szCs w:val="18"/>
              </w:rPr>
            </w:pPr>
            <w:r>
              <w:rPr>
                <w:rFonts w:ascii="Arial" w:hAnsi="Arial" w:cs="Arial"/>
                <w:sz w:val="18"/>
                <w:szCs w:val="18"/>
              </w:rPr>
              <w:t>1,00</w:t>
            </w:r>
          </w:p>
        </w:tc>
        <w:tc>
          <w:tcPr>
            <w:tcW w:w="1356" w:type="dxa"/>
            <w:tcBorders>
              <w:top w:val="nil"/>
              <w:left w:val="single" w:sz="6" w:space="0" w:color="auto"/>
              <w:bottom w:val="single" w:sz="6" w:space="0" w:color="auto"/>
              <w:right w:val="single" w:sz="6" w:space="0" w:color="auto"/>
            </w:tcBorders>
            <w:vAlign w:val="center"/>
            <w:hideMark/>
          </w:tcPr>
          <w:p w:rsidR="000D7726" w:rsidRDefault="00456F5F">
            <w:pPr>
              <w:jc w:val="center"/>
              <w:rPr>
                <w:rFonts w:ascii="Arial" w:hAnsi="Arial" w:cs="Arial"/>
                <w:sz w:val="18"/>
                <w:szCs w:val="18"/>
              </w:rPr>
            </w:pPr>
            <w:r>
              <w:rPr>
                <w:rFonts w:ascii="Arial" w:hAnsi="Arial" w:cs="Arial"/>
                <w:sz w:val="18"/>
                <w:szCs w:val="18"/>
              </w:rPr>
              <w:t>1,00</w:t>
            </w:r>
          </w:p>
        </w:tc>
        <w:tc>
          <w:tcPr>
            <w:tcW w:w="1210" w:type="dxa"/>
            <w:tcBorders>
              <w:top w:val="nil"/>
              <w:left w:val="single" w:sz="6" w:space="0" w:color="auto"/>
              <w:bottom w:val="single" w:sz="6" w:space="0" w:color="auto"/>
              <w:right w:val="single" w:sz="6" w:space="0" w:color="auto"/>
            </w:tcBorders>
            <w:vAlign w:val="center"/>
          </w:tcPr>
          <w:p w:rsidR="000D7726" w:rsidRDefault="00456F5F">
            <w:pPr>
              <w:jc w:val="center"/>
              <w:rPr>
                <w:rFonts w:ascii="Arial" w:hAnsi="Arial" w:cs="Arial"/>
                <w:sz w:val="18"/>
                <w:szCs w:val="18"/>
              </w:rPr>
            </w:pPr>
            <w:r>
              <w:rPr>
                <w:rFonts w:ascii="Arial" w:hAnsi="Arial" w:cs="Arial"/>
                <w:sz w:val="18"/>
                <w:szCs w:val="18"/>
              </w:rPr>
              <w:t>1,00</w:t>
            </w:r>
          </w:p>
        </w:tc>
        <w:tc>
          <w:tcPr>
            <w:tcW w:w="1276" w:type="dxa"/>
            <w:tcBorders>
              <w:top w:val="nil"/>
              <w:left w:val="single" w:sz="6" w:space="0" w:color="auto"/>
              <w:bottom w:val="single" w:sz="6" w:space="0" w:color="auto"/>
              <w:right w:val="single" w:sz="6" w:space="0" w:color="auto"/>
            </w:tcBorders>
            <w:vAlign w:val="center"/>
          </w:tcPr>
          <w:p w:rsidR="000D7726" w:rsidRDefault="00456F5F">
            <w:pPr>
              <w:jc w:val="center"/>
              <w:rPr>
                <w:rFonts w:ascii="Arial" w:hAnsi="Arial" w:cs="Arial"/>
                <w:sz w:val="18"/>
                <w:szCs w:val="18"/>
              </w:rPr>
            </w:pPr>
            <w:r>
              <w:rPr>
                <w:rFonts w:ascii="Arial" w:hAnsi="Arial" w:cs="Arial"/>
                <w:sz w:val="18"/>
                <w:szCs w:val="18"/>
              </w:rPr>
              <w:t>0,97</w:t>
            </w:r>
          </w:p>
        </w:tc>
      </w:tr>
    </w:tbl>
    <w:p w:rsidR="000D7726" w:rsidRDefault="000D7726">
      <w:pPr>
        <w:jc w:val="both"/>
        <w:rPr>
          <w:rFonts w:ascii="Arial" w:hAnsi="Arial" w:cs="Arial"/>
          <w:sz w:val="18"/>
          <w:szCs w:val="18"/>
        </w:rPr>
      </w:pPr>
    </w:p>
    <w:p w:rsidR="000D7726" w:rsidRDefault="000D7726">
      <w:pPr>
        <w:jc w:val="both"/>
        <w:rPr>
          <w:rFonts w:ascii="Arial" w:hAnsi="Arial" w:cs="Arial"/>
          <w:sz w:val="18"/>
          <w:szCs w:val="18"/>
        </w:rPr>
      </w:pPr>
    </w:p>
    <w:p w:rsidR="000D7726" w:rsidRDefault="00456F5F">
      <w:pPr>
        <w:jc w:val="both"/>
        <w:rPr>
          <w:rFonts w:ascii="Arial" w:hAnsi="Arial" w:cs="Arial"/>
          <w:sz w:val="18"/>
          <w:szCs w:val="18"/>
        </w:rPr>
      </w:pPr>
      <w:r>
        <w:rPr>
          <w:rFonts w:ascii="Arial" w:hAnsi="Arial" w:cs="Arial"/>
          <w:sz w:val="18"/>
          <w:szCs w:val="18"/>
        </w:rPr>
        <w:t xml:space="preserve">B. Wtórny moduł odkształcenia (E2) na podłożu gruntowym pod najniżej położoną warstwą konstrukcji nawierzchni lub na powierzchni warstwy ulepszonego podłoża, (jeżeli występuje) powinien wynosić E2≥ 80 MPa (KR3 – KR7) i E2≥ 50 MPa (KR1 – KR2). </w:t>
      </w:r>
    </w:p>
    <w:p w:rsidR="000D7726" w:rsidRDefault="00456F5F">
      <w:pPr>
        <w:jc w:val="both"/>
        <w:rPr>
          <w:rFonts w:ascii="Arial" w:hAnsi="Arial" w:cs="Arial"/>
          <w:sz w:val="18"/>
          <w:szCs w:val="18"/>
        </w:rPr>
      </w:pPr>
      <w:r>
        <w:rPr>
          <w:rFonts w:ascii="Arial" w:hAnsi="Arial" w:cs="Arial"/>
          <w:sz w:val="18"/>
          <w:szCs w:val="18"/>
        </w:rPr>
        <w:t xml:space="preserve">Wtórny moduł odkształcenia (E2) należy oznaczyć przy wtórnym (drugim) obciążeniu płytą </w:t>
      </w:r>
      <w:r>
        <w:rPr>
          <w:rFonts w:ascii="Arial" w:hAnsi="Arial" w:cs="Arial"/>
          <w:sz w:val="18"/>
          <w:szCs w:val="18"/>
        </w:rPr>
        <w:br/>
        <w:t xml:space="preserve">o średnicy </w:t>
      </w:r>
      <w:smartTag w:uri="urn:schemas-microsoft-com:office:smarttags" w:element="metricconverter">
        <w:smartTagPr>
          <w:attr w:name="ProductID" w:val="30 cm"/>
        </w:smartTagPr>
        <w:r>
          <w:rPr>
            <w:rFonts w:ascii="Arial" w:hAnsi="Arial" w:cs="Arial"/>
            <w:sz w:val="18"/>
            <w:szCs w:val="18"/>
          </w:rPr>
          <w:t>30 cm</w:t>
        </w:r>
      </w:smartTag>
      <w:r>
        <w:rPr>
          <w:rFonts w:ascii="Arial" w:hAnsi="Arial" w:cs="Arial"/>
          <w:sz w:val="18"/>
          <w:szCs w:val="18"/>
        </w:rPr>
        <w:t xml:space="preserve"> zgodnie z załącznikiem B normy PN-S-02205. Badanie należy przeprowadzić w zakresie od 0,00 do 0,25 MPa – grunt rodzimy w wykopie oraz 0,00 do 0,35 MPa na warstwie ulepszonego podłoża. Wartość modułu E2 należy wyznaczyć dla przyrostu obciążenia od 0,05 MPa do 0,15 MPa wg wzoru:</w:t>
      </w:r>
    </w:p>
    <w:p w:rsidR="000D7726" w:rsidRDefault="000D7726">
      <w:pPr>
        <w:jc w:val="both"/>
        <w:rPr>
          <w:rFonts w:ascii="Arial" w:hAnsi="Arial" w:cs="Arial"/>
          <w:sz w:val="18"/>
          <w:szCs w:val="18"/>
        </w:rPr>
      </w:pPr>
    </w:p>
    <w:p w:rsidR="000D7726" w:rsidRDefault="000D7726">
      <w:pPr>
        <w:jc w:val="both"/>
        <w:rPr>
          <w:rFonts w:ascii="Arial" w:hAnsi="Arial" w:cs="Arial"/>
          <w:i/>
          <w:sz w:val="18"/>
          <w:szCs w:val="18"/>
          <w:highlight w:val="yellow"/>
        </w:rPr>
      </w:pPr>
    </w:p>
    <w:p w:rsidR="000D7726" w:rsidRDefault="005624B6">
      <w:pPr>
        <w:jc w:val="center"/>
        <w:rPr>
          <w:rFonts w:ascii="Arial" w:hAnsi="Arial" w:cs="Arial"/>
          <w:i/>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E</m:t>
              </m:r>
            </m:e>
            <m:sub>
              <m:r>
                <w:rPr>
                  <w:rFonts w:ascii="Cambria Math" w:hAnsi="Cambria Math" w:cs="Arial"/>
                  <w:sz w:val="18"/>
                  <w:szCs w:val="18"/>
                </w:rPr>
                <m:t>2</m:t>
              </m:r>
            </m:sub>
          </m:sSub>
          <m:r>
            <m:rPr>
              <m:sty m:val="p"/>
            </m:rPr>
            <w:rPr>
              <w:rFonts w:ascii="Cambria Math" w:hAnsi="Cambria Math" w:cs="Arial"/>
              <w:sz w:val="18"/>
              <w:szCs w:val="18"/>
            </w:rPr>
            <m:t>=</m:t>
          </m:r>
          <m:f>
            <m:fPr>
              <m:ctrlPr>
                <w:rPr>
                  <w:rFonts w:ascii="Cambria Math" w:hAnsi="Cambria Math" w:cs="Arial"/>
                  <w:sz w:val="18"/>
                  <w:szCs w:val="18"/>
                </w:rPr>
              </m:ctrlPr>
            </m:fPr>
            <m:num>
              <m:r>
                <m:rPr>
                  <m:sty m:val="p"/>
                </m:rPr>
                <w:rPr>
                  <w:rFonts w:ascii="Cambria Math" w:hAnsi="Cambria Math" w:cs="Arial"/>
                  <w:sz w:val="18"/>
                  <w:szCs w:val="18"/>
                </w:rPr>
                <m:t>3∆p</m:t>
              </m:r>
            </m:num>
            <m:den>
              <m:r>
                <m:rPr>
                  <m:sty m:val="p"/>
                </m:rPr>
                <w:rPr>
                  <w:rFonts w:ascii="Cambria Math" w:hAnsi="Cambria Math" w:cs="Arial"/>
                  <w:sz w:val="18"/>
                  <w:szCs w:val="18"/>
                </w:rPr>
                <m:t>4∆s</m:t>
              </m:r>
            </m:den>
          </m:f>
          <m:r>
            <w:rPr>
              <w:rFonts w:ascii="Cambria Math" w:hAnsi="Cambria Math" w:cs="Arial"/>
              <w:sz w:val="18"/>
              <w:szCs w:val="18"/>
            </w:rPr>
            <m:t>×D</m:t>
          </m:r>
        </m:oMath>
      </m:oMathPara>
    </w:p>
    <w:p w:rsidR="000D7726" w:rsidRDefault="000D7726">
      <w:pPr>
        <w:jc w:val="both"/>
        <w:rPr>
          <w:rFonts w:ascii="Arial" w:hAnsi="Arial" w:cs="Arial"/>
          <w:i/>
          <w:sz w:val="18"/>
          <w:szCs w:val="18"/>
        </w:rPr>
      </w:pPr>
    </w:p>
    <w:p w:rsidR="000D7726" w:rsidRDefault="00456F5F">
      <w:pPr>
        <w:jc w:val="both"/>
        <w:rPr>
          <w:rFonts w:ascii="Arial" w:hAnsi="Arial" w:cs="Arial"/>
          <w:i/>
          <w:sz w:val="18"/>
          <w:szCs w:val="18"/>
        </w:rPr>
      </w:pPr>
      <w:r>
        <w:rPr>
          <w:rFonts w:ascii="Arial" w:hAnsi="Arial" w:cs="Arial"/>
          <w:i/>
          <w:sz w:val="18"/>
          <w:szCs w:val="18"/>
        </w:rPr>
        <w:tab/>
      </w:r>
    </w:p>
    <w:p w:rsidR="000D7726" w:rsidRDefault="00456F5F">
      <w:pPr>
        <w:jc w:val="both"/>
        <w:rPr>
          <w:rFonts w:ascii="Arial" w:hAnsi="Arial" w:cs="Arial"/>
          <w:sz w:val="18"/>
          <w:szCs w:val="18"/>
        </w:rPr>
      </w:pPr>
      <w:r>
        <w:rPr>
          <w:rFonts w:ascii="Arial" w:hAnsi="Arial" w:cs="Arial"/>
          <w:sz w:val="18"/>
          <w:szCs w:val="18"/>
        </w:rPr>
        <w:t>w którym:</w:t>
      </w:r>
    </w:p>
    <w:p w:rsidR="000D7726" w:rsidRDefault="00456F5F">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D – średnica płyty, mm;</w:t>
      </w:r>
    </w:p>
    <w:p w:rsidR="000D7726" w:rsidRDefault="00456F5F">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Δp – przyrosty obciążenia, MPa;</w:t>
      </w:r>
    </w:p>
    <w:p w:rsidR="000D7726" w:rsidRDefault="00456F5F">
      <w:pPr>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Δs – przyrost odkształcenia, mm.</w:t>
      </w:r>
    </w:p>
    <w:p w:rsidR="000D7726" w:rsidRDefault="000D7726">
      <w:pPr>
        <w:jc w:val="both"/>
        <w:rPr>
          <w:rFonts w:ascii="Arial" w:hAnsi="Arial" w:cs="Arial"/>
          <w:i/>
          <w:color w:val="44546A"/>
          <w:sz w:val="18"/>
          <w:szCs w:val="18"/>
          <w:highlight w:val="yellow"/>
        </w:rPr>
      </w:pPr>
    </w:p>
    <w:p w:rsidR="000D7726" w:rsidRDefault="00456F5F">
      <w:pPr>
        <w:ind w:firstLine="567"/>
        <w:jc w:val="both"/>
        <w:rPr>
          <w:rFonts w:ascii="Arial" w:hAnsi="Arial" w:cs="Arial"/>
          <w:sz w:val="18"/>
          <w:szCs w:val="18"/>
        </w:rPr>
      </w:pPr>
      <w:r>
        <w:rPr>
          <w:rFonts w:ascii="Arial" w:hAnsi="Arial" w:cs="Arial"/>
          <w:sz w:val="18"/>
          <w:szCs w:val="18"/>
        </w:rPr>
        <w:t xml:space="preserve">Liczba badań wskaźnika zagęszczenia Is lub modułu wtórnego odkształcenia E2 powinna być zgodna z normą PN-S-02205 „Drogi samochodowe. Roboty ziemne. Wymagania i badania” i powinna wynosić dla podłoża w wykopach – nie mniej niż 2 pomiary w przekroju poprzecznym (w zależności od szerokości korony robót ziemnych), co 50 m lub zgodnie z tabelą w pkt. 6.3. </w:t>
      </w:r>
    </w:p>
    <w:p w:rsidR="000D7726" w:rsidRDefault="000D7726">
      <w:pPr>
        <w:jc w:val="both"/>
        <w:rPr>
          <w:rFonts w:ascii="Arial" w:hAnsi="Arial" w:cs="Arial"/>
          <w:i/>
          <w:color w:val="44546A"/>
          <w:sz w:val="18"/>
          <w:szCs w:val="18"/>
        </w:rPr>
      </w:pPr>
    </w:p>
    <w:p w:rsidR="000D7726" w:rsidRDefault="00456F5F">
      <w:pPr>
        <w:spacing w:line="217" w:lineRule="auto"/>
        <w:jc w:val="both"/>
        <w:rPr>
          <w:rFonts w:ascii="Arial" w:hAnsi="Arial" w:cs="Arial"/>
          <w:sz w:val="18"/>
          <w:szCs w:val="18"/>
        </w:rPr>
      </w:pPr>
      <w:r>
        <w:rPr>
          <w:rFonts w:ascii="Arial" w:hAnsi="Arial" w:cs="Arial"/>
          <w:sz w:val="18"/>
          <w:szCs w:val="18"/>
        </w:rPr>
        <w:t>Jeżeli grunty rodzime w wykopach i miejscach zerowych nie spełniają wymaganego wskaźnika zagęszczenia, to przed ułożeniem konstrukcji nawierzchni należy je dogęścić do wartości Is, podanych w tablicy 1.</w:t>
      </w:r>
    </w:p>
    <w:p w:rsidR="000D7726" w:rsidRDefault="000D7726">
      <w:pPr>
        <w:ind w:firstLine="708"/>
        <w:jc w:val="both"/>
        <w:rPr>
          <w:rFonts w:ascii="Arial" w:hAnsi="Arial" w:cs="Arial"/>
          <w:sz w:val="18"/>
          <w:szCs w:val="18"/>
        </w:rPr>
      </w:pPr>
      <w:bookmarkStart w:id="54" w:name="page3"/>
      <w:bookmarkEnd w:id="54"/>
    </w:p>
    <w:p w:rsidR="000D7726" w:rsidRDefault="00456F5F">
      <w:pPr>
        <w:jc w:val="both"/>
        <w:rPr>
          <w:rFonts w:ascii="Arial" w:hAnsi="Arial" w:cs="Arial"/>
          <w:sz w:val="18"/>
          <w:szCs w:val="18"/>
        </w:rPr>
      </w:pPr>
      <w:r>
        <w:rPr>
          <w:rFonts w:ascii="Arial" w:hAnsi="Arial" w:cs="Arial"/>
          <w:sz w:val="18"/>
          <w:szCs w:val="18"/>
        </w:rPr>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 STWIORB, proponuje Wykonawca i przedstawia do akceptacji Inżynierowi/Inspektorowi Nadzoru.</w:t>
      </w:r>
    </w:p>
    <w:p w:rsidR="000D7726" w:rsidRDefault="000D7726">
      <w:pPr>
        <w:jc w:val="both"/>
        <w:rPr>
          <w:rFonts w:ascii="Arial" w:hAnsi="Arial" w:cs="Arial"/>
          <w:sz w:val="18"/>
          <w:szCs w:val="18"/>
        </w:rPr>
      </w:pPr>
    </w:p>
    <w:p w:rsidR="000D7726" w:rsidRDefault="00456F5F">
      <w:pPr>
        <w:pStyle w:val="Nagwek2"/>
        <w:jc w:val="both"/>
        <w:rPr>
          <w:rFonts w:ascii="Arial" w:hAnsi="Arial" w:cs="Arial"/>
          <w:sz w:val="18"/>
          <w:szCs w:val="18"/>
        </w:rPr>
      </w:pPr>
      <w:bookmarkStart w:id="55" w:name="_Toc407161225"/>
      <w:r>
        <w:rPr>
          <w:rFonts w:ascii="Arial" w:hAnsi="Arial" w:cs="Arial"/>
          <w:sz w:val="18"/>
          <w:szCs w:val="18"/>
        </w:rPr>
        <w:t>5.3. Ruch budowlany</w:t>
      </w:r>
      <w:bookmarkEnd w:id="55"/>
    </w:p>
    <w:p w:rsidR="000D7726" w:rsidRDefault="00456F5F">
      <w:pPr>
        <w:ind w:firstLine="567"/>
        <w:jc w:val="both"/>
        <w:rPr>
          <w:rFonts w:ascii="Arial" w:hAnsi="Arial" w:cs="Arial"/>
          <w:sz w:val="18"/>
          <w:szCs w:val="18"/>
        </w:rPr>
      </w:pPr>
      <w:r>
        <w:rPr>
          <w:rFonts w:ascii="Arial" w:hAnsi="Arial" w:cs="Arial"/>
          <w:sz w:val="18"/>
          <w:szCs w:val="18"/>
        </w:rPr>
        <w:t>Nie należy dopuszczać ruchu budowlanego po dnie wykopu o ile grubość warstwy gruntu (nadkładu) powyżej rzędnych robót ziemnych jest mniejsza niż 0,3 m.</w:t>
      </w:r>
    </w:p>
    <w:p w:rsidR="000D7726" w:rsidRDefault="00456F5F">
      <w:pPr>
        <w:ind w:firstLine="567"/>
        <w:jc w:val="both"/>
        <w:rPr>
          <w:rFonts w:ascii="Arial" w:hAnsi="Arial" w:cs="Arial"/>
          <w:sz w:val="18"/>
          <w:szCs w:val="18"/>
        </w:rPr>
      </w:pPr>
      <w:r>
        <w:rPr>
          <w:rFonts w:ascii="Arial" w:hAnsi="Arial" w:cs="Arial"/>
          <w:sz w:val="18"/>
          <w:szCs w:val="18"/>
        </w:rPr>
        <w:t>Z chwilą przystąpienia do ostatecznego profilowania dna wykopu dopuszcza się po nim jedynie ruch maszyn wykonujących tę czynność budowlaną. Może odbywać się jedynie sporadyczny ruch pojazdów, które nie spowodują uszkodzeń powierzchni korpusu.</w:t>
      </w:r>
    </w:p>
    <w:p w:rsidR="000D7726" w:rsidRDefault="00456F5F">
      <w:pPr>
        <w:pStyle w:val="Standardowytekst"/>
        <w:overflowPunct/>
        <w:autoSpaceDE/>
        <w:autoSpaceDN/>
        <w:adjustRightInd/>
        <w:ind w:firstLine="567"/>
        <w:textAlignment w:val="auto"/>
        <w:rPr>
          <w:rFonts w:ascii="Arial" w:hAnsi="Arial" w:cs="Arial"/>
          <w:sz w:val="18"/>
          <w:szCs w:val="18"/>
        </w:rPr>
      </w:pPr>
      <w:r>
        <w:rPr>
          <w:rFonts w:ascii="Arial" w:hAnsi="Arial" w:cs="Arial"/>
          <w:sz w:val="18"/>
          <w:szCs w:val="18"/>
        </w:rPr>
        <w:t>Naprawa uszkodzeń powierzchni robót ziemnych, wynikających z niedotrzymania podanych powyżej warunków obciąża Wykonawcę robót ziemnych.</w:t>
      </w:r>
      <w:bookmarkStart w:id="56" w:name="_Toc405615048"/>
      <w:bookmarkStart w:id="57" w:name="_Toc407161196"/>
    </w:p>
    <w:p w:rsidR="000D7726" w:rsidRDefault="000D7726">
      <w:pPr>
        <w:pStyle w:val="Standardowytekst"/>
        <w:overflowPunct/>
        <w:autoSpaceDE/>
        <w:autoSpaceDN/>
        <w:adjustRightInd/>
        <w:textAlignment w:val="auto"/>
        <w:rPr>
          <w:rFonts w:ascii="Arial" w:hAnsi="Arial" w:cs="Arial"/>
          <w:sz w:val="18"/>
          <w:szCs w:val="18"/>
        </w:rPr>
      </w:pPr>
    </w:p>
    <w:p w:rsidR="000D7726" w:rsidRDefault="00456F5F">
      <w:pPr>
        <w:pStyle w:val="StylIwony"/>
        <w:spacing w:before="0" w:after="0"/>
        <w:rPr>
          <w:rFonts w:ascii="Arial" w:hAnsi="Arial" w:cs="Arial"/>
          <w:b/>
          <w:sz w:val="18"/>
          <w:szCs w:val="18"/>
        </w:rPr>
      </w:pPr>
      <w:r>
        <w:rPr>
          <w:rFonts w:ascii="Arial" w:hAnsi="Arial" w:cs="Arial"/>
          <w:b/>
          <w:sz w:val="18"/>
          <w:szCs w:val="18"/>
        </w:rPr>
        <w:t xml:space="preserve">5.4. Dokładność wykonania wykopów i nasypów  </w:t>
      </w:r>
      <w:bookmarkEnd w:id="56"/>
      <w:bookmarkEnd w:id="57"/>
    </w:p>
    <w:p w:rsidR="000D7726" w:rsidRDefault="00456F5F">
      <w:pPr>
        <w:pStyle w:val="Standardowytekst"/>
        <w:ind w:firstLine="567"/>
        <w:rPr>
          <w:rFonts w:ascii="Arial" w:hAnsi="Arial" w:cs="Arial"/>
          <w:sz w:val="18"/>
          <w:szCs w:val="18"/>
        </w:rPr>
      </w:pPr>
      <w:r>
        <w:rPr>
          <w:rFonts w:ascii="Arial" w:hAnsi="Arial" w:cs="Arial"/>
          <w:sz w:val="18"/>
          <w:szCs w:val="18"/>
        </w:rPr>
        <w:t xml:space="preserve">Odchylenie osi korpusu ziemnego, w wykopie lub nasypie  , od osi projektowanej nie powinny być większe niż </w:t>
      </w:r>
      <w:r>
        <w:rPr>
          <w:rFonts w:ascii="Arial" w:hAnsi="Arial" w:cs="Arial"/>
          <w:sz w:val="18"/>
          <w:szCs w:val="18"/>
        </w:rPr>
        <w:sym w:font="Symbol" w:char="F0B1"/>
      </w:r>
      <w:r>
        <w:rPr>
          <w:rFonts w:ascii="Arial" w:hAnsi="Arial" w:cs="Arial"/>
          <w:sz w:val="18"/>
          <w:szCs w:val="18"/>
        </w:rPr>
        <w:t xml:space="preserve"> 10 cm. Różnica w stosunku do projektowanych rzędnych robót ziemnych nie może przekraczać + 1 cm i -3 cm.</w:t>
      </w:r>
    </w:p>
    <w:p w:rsidR="000D7726" w:rsidRDefault="00456F5F">
      <w:pPr>
        <w:pStyle w:val="Standardowytekst"/>
        <w:ind w:firstLine="567"/>
        <w:rPr>
          <w:rFonts w:ascii="Arial" w:hAnsi="Arial" w:cs="Arial"/>
          <w:sz w:val="18"/>
          <w:szCs w:val="18"/>
        </w:rPr>
      </w:pPr>
      <w:r>
        <w:rPr>
          <w:rFonts w:ascii="Arial" w:hAnsi="Arial" w:cs="Arial"/>
          <w:sz w:val="18"/>
          <w:szCs w:val="18"/>
        </w:rPr>
        <w:t xml:space="preserve">Szerokość górnej powierzchni korpusu nie może różnić się od szerokości projektowanej o więcej niż </w:t>
      </w:r>
      <w:r>
        <w:rPr>
          <w:rFonts w:ascii="Arial" w:hAnsi="Arial" w:cs="Arial"/>
          <w:sz w:val="18"/>
          <w:szCs w:val="18"/>
        </w:rPr>
        <w:sym w:font="Symbol" w:char="F0B1"/>
      </w:r>
      <w:r>
        <w:rPr>
          <w:rFonts w:ascii="Arial" w:hAnsi="Arial" w:cs="Arial"/>
          <w:sz w:val="18"/>
          <w:szCs w:val="18"/>
        </w:rPr>
        <w:t xml:space="preserve"> 10 cm, a krawędzie korony drogi nie powinny mieć wyraźnych załamań w planie.</w:t>
      </w:r>
    </w:p>
    <w:p w:rsidR="000D7726" w:rsidRDefault="00456F5F">
      <w:pPr>
        <w:pStyle w:val="Standardowytekst"/>
        <w:tabs>
          <w:tab w:val="left" w:pos="567"/>
        </w:tabs>
        <w:rPr>
          <w:rFonts w:ascii="Arial" w:hAnsi="Arial" w:cs="Arial"/>
          <w:sz w:val="18"/>
          <w:szCs w:val="18"/>
        </w:rPr>
      </w:pPr>
      <w:r>
        <w:rPr>
          <w:rFonts w:ascii="Arial" w:hAnsi="Arial" w:cs="Arial"/>
          <w:sz w:val="18"/>
          <w:szCs w:val="18"/>
        </w:rPr>
        <w:tab/>
        <w:t xml:space="preserve">Pochylenie skarp nie powinno różnić się od projektowanego o więcej niż 10% jego wartości wyrażonej tangensem kąta. Maksymalne nierówności na powierzchni skarp nie powinny przekraczać </w:t>
      </w:r>
      <w:r>
        <w:rPr>
          <w:rFonts w:ascii="Arial" w:hAnsi="Arial" w:cs="Arial"/>
          <w:sz w:val="18"/>
          <w:szCs w:val="18"/>
        </w:rPr>
        <w:sym w:font="Symbol" w:char="F0B1"/>
      </w:r>
      <w:r>
        <w:rPr>
          <w:rFonts w:ascii="Arial" w:hAnsi="Arial" w:cs="Arial"/>
          <w:sz w:val="18"/>
          <w:szCs w:val="18"/>
        </w:rPr>
        <w:t xml:space="preserve"> 10 cm przy pomiarze łatą 3-metrową, albo powinny być spełnione inne wymagania dotyczące nierówności, wynikające ze sposobu umocnienia powierzchni skarpy.</w:t>
      </w:r>
      <w:r>
        <w:rPr>
          <w:rFonts w:ascii="Arial" w:hAnsi="Arial" w:cs="Arial"/>
          <w:sz w:val="18"/>
          <w:szCs w:val="18"/>
        </w:rPr>
        <w:tab/>
      </w:r>
    </w:p>
    <w:p w:rsidR="000D7726" w:rsidRDefault="000D7726">
      <w:pPr>
        <w:pStyle w:val="Nagwek2"/>
        <w:jc w:val="both"/>
        <w:rPr>
          <w:rFonts w:ascii="Arial" w:hAnsi="Arial" w:cs="Arial"/>
          <w:sz w:val="18"/>
          <w:szCs w:val="18"/>
        </w:rPr>
      </w:pPr>
      <w:bookmarkStart w:id="58" w:name="_Toc405615049"/>
      <w:bookmarkStart w:id="59" w:name="_Toc407161197"/>
    </w:p>
    <w:p w:rsidR="000D7726" w:rsidRDefault="00456F5F">
      <w:pPr>
        <w:pStyle w:val="Nagwek2"/>
        <w:jc w:val="both"/>
        <w:rPr>
          <w:rFonts w:ascii="Arial" w:hAnsi="Arial" w:cs="Arial"/>
          <w:sz w:val="18"/>
          <w:szCs w:val="18"/>
        </w:rPr>
      </w:pPr>
      <w:r>
        <w:rPr>
          <w:rFonts w:ascii="Arial" w:hAnsi="Arial" w:cs="Arial"/>
          <w:sz w:val="18"/>
          <w:szCs w:val="18"/>
        </w:rPr>
        <w:t>5.5.Odwodnienia pasa robót ziemnych</w:t>
      </w:r>
      <w:bookmarkEnd w:id="58"/>
      <w:bookmarkEnd w:id="59"/>
    </w:p>
    <w:p w:rsidR="000D7726" w:rsidRDefault="00456F5F">
      <w:pPr>
        <w:pStyle w:val="Standardowytekst"/>
        <w:ind w:firstLine="567"/>
        <w:rPr>
          <w:rFonts w:ascii="Arial" w:hAnsi="Arial" w:cs="Arial"/>
          <w:sz w:val="18"/>
          <w:szCs w:val="18"/>
        </w:rPr>
      </w:pPr>
      <w:r>
        <w:rPr>
          <w:rFonts w:ascii="Arial" w:hAnsi="Arial" w:cs="Arial"/>
          <w:sz w:val="18"/>
          <w:szCs w:val="18"/>
        </w:rPr>
        <w:t xml:space="preserve">Niezależnie od budowy urządzeń, stanowiących elementy systemów odwadniających, ujętych </w:t>
      </w:r>
      <w:r>
        <w:rPr>
          <w:rFonts w:ascii="Arial" w:hAnsi="Arial" w:cs="Arial"/>
          <w:sz w:val="18"/>
          <w:szCs w:val="18"/>
        </w:rPr>
        <w:br/>
        <w:t xml:space="preserve">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 aby powierzchniom gruntu nadawać w całym okresie trwania robót spadki, zapewniające prawidłowe odwodnienie. </w:t>
      </w:r>
    </w:p>
    <w:p w:rsidR="000D7726" w:rsidRDefault="00456F5F">
      <w:pPr>
        <w:pStyle w:val="Standardowytekst"/>
        <w:ind w:firstLine="567"/>
        <w:rPr>
          <w:rFonts w:ascii="Arial" w:hAnsi="Arial" w:cs="Arial"/>
          <w:sz w:val="18"/>
          <w:szCs w:val="18"/>
        </w:rPr>
      </w:pPr>
      <w:r>
        <w:rPr>
          <w:rFonts w:ascii="Arial" w:hAnsi="Arial" w:cs="Arial"/>
          <w:sz w:val="18"/>
          <w:szCs w:val="18"/>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0D7726" w:rsidRDefault="000D7726">
      <w:pPr>
        <w:pStyle w:val="Nagwek2"/>
        <w:jc w:val="both"/>
        <w:rPr>
          <w:rFonts w:ascii="Arial" w:hAnsi="Arial" w:cs="Arial"/>
          <w:sz w:val="18"/>
          <w:szCs w:val="18"/>
        </w:rPr>
      </w:pPr>
      <w:bookmarkStart w:id="60" w:name="_Toc405615050"/>
      <w:bookmarkStart w:id="61" w:name="_Toc407161198"/>
    </w:p>
    <w:p w:rsidR="000D7726" w:rsidRDefault="00456F5F">
      <w:pPr>
        <w:pStyle w:val="Nagwek2"/>
        <w:jc w:val="both"/>
        <w:rPr>
          <w:rFonts w:ascii="Arial" w:hAnsi="Arial" w:cs="Arial"/>
          <w:sz w:val="18"/>
          <w:szCs w:val="18"/>
        </w:rPr>
      </w:pPr>
      <w:r>
        <w:rPr>
          <w:rFonts w:ascii="Arial" w:hAnsi="Arial" w:cs="Arial"/>
          <w:sz w:val="18"/>
          <w:szCs w:val="18"/>
        </w:rPr>
        <w:t>5.6. Odwodnienie wykopów</w:t>
      </w:r>
      <w:bookmarkEnd w:id="60"/>
      <w:bookmarkEnd w:id="61"/>
    </w:p>
    <w:p w:rsidR="000D7726" w:rsidRDefault="00456F5F">
      <w:pPr>
        <w:pStyle w:val="Standardowytekst"/>
        <w:ind w:firstLine="567"/>
        <w:rPr>
          <w:rFonts w:ascii="Arial" w:hAnsi="Arial" w:cs="Arial"/>
          <w:sz w:val="18"/>
          <w:szCs w:val="18"/>
        </w:rPr>
      </w:pPr>
      <w:r>
        <w:rPr>
          <w:rFonts w:ascii="Arial" w:hAnsi="Arial" w:cs="Arial"/>
          <w:sz w:val="18"/>
          <w:szCs w:val="18"/>
        </w:rPr>
        <w:t>Technologia wykonania wykopu musi umożliwiać jego prawidłowe odwodnienie w całym okresie trwania robót ziemnych. Wykonanie wykopów powinno postępować w kierunku podnoszenia się niwelety.</w:t>
      </w:r>
    </w:p>
    <w:p w:rsidR="000D7726" w:rsidRDefault="00456F5F">
      <w:pPr>
        <w:pStyle w:val="Standardowytekst"/>
        <w:ind w:firstLine="567"/>
        <w:rPr>
          <w:rFonts w:ascii="Arial" w:hAnsi="Arial" w:cs="Arial"/>
          <w:sz w:val="18"/>
          <w:szCs w:val="18"/>
        </w:rPr>
      </w:pPr>
      <w:r>
        <w:rPr>
          <w:rFonts w:ascii="Arial" w:hAnsi="Arial" w:cs="Arial"/>
          <w:sz w:val="18"/>
          <w:szCs w:val="18"/>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0D7726" w:rsidRDefault="00456F5F">
      <w:pPr>
        <w:pStyle w:val="Standardowytekst"/>
        <w:ind w:firstLine="567"/>
        <w:rPr>
          <w:rFonts w:ascii="Arial" w:hAnsi="Arial" w:cs="Arial"/>
          <w:sz w:val="18"/>
          <w:szCs w:val="18"/>
        </w:rPr>
      </w:pPr>
      <w:r>
        <w:rPr>
          <w:rFonts w:ascii="Arial" w:hAnsi="Arial" w:cs="Arial"/>
          <w:sz w:val="18"/>
          <w:szCs w:val="18"/>
        </w:rPr>
        <w:t xml:space="preserve">Źródła wody, odsłonięte przy wykonywaniu wykopów, należy ująć  w rowy i /lub dreny. Wody opadowe         </w:t>
      </w:r>
      <w:r>
        <w:rPr>
          <w:rFonts w:ascii="Arial" w:hAnsi="Arial" w:cs="Arial"/>
          <w:sz w:val="18"/>
          <w:szCs w:val="18"/>
        </w:rPr>
        <w:br/>
        <w:t xml:space="preserve"> i gruntowe należy odprowadzić poza teren pasa robót ziemnych.</w:t>
      </w:r>
    </w:p>
    <w:p w:rsidR="000D7726" w:rsidRDefault="000D7726">
      <w:pPr>
        <w:pStyle w:val="Standardowytekst"/>
        <w:jc w:val="left"/>
        <w:rPr>
          <w:rFonts w:ascii="Arial" w:hAnsi="Arial" w:cs="Arial"/>
          <w:sz w:val="18"/>
          <w:szCs w:val="18"/>
        </w:rPr>
      </w:pPr>
    </w:p>
    <w:p w:rsidR="000D7726" w:rsidRDefault="00456F5F">
      <w:pPr>
        <w:pStyle w:val="Nagwek2"/>
        <w:jc w:val="left"/>
        <w:rPr>
          <w:rFonts w:ascii="Arial" w:hAnsi="Arial" w:cs="Arial"/>
          <w:sz w:val="18"/>
          <w:szCs w:val="18"/>
        </w:rPr>
      </w:pPr>
      <w:bookmarkStart w:id="62" w:name="_Toc405615051"/>
      <w:bookmarkStart w:id="63" w:name="_Toc407161199"/>
      <w:r>
        <w:rPr>
          <w:rFonts w:ascii="Arial" w:hAnsi="Arial" w:cs="Arial"/>
          <w:sz w:val="18"/>
          <w:szCs w:val="18"/>
        </w:rPr>
        <w:t>5.7. Odkład</w:t>
      </w:r>
    </w:p>
    <w:p w:rsidR="000D7726" w:rsidRDefault="00456F5F">
      <w:pPr>
        <w:rPr>
          <w:rFonts w:ascii="Arial" w:hAnsi="Arial" w:cs="Arial"/>
          <w:b/>
          <w:sz w:val="18"/>
          <w:szCs w:val="18"/>
        </w:rPr>
      </w:pPr>
      <w:r>
        <w:rPr>
          <w:rFonts w:ascii="Arial" w:hAnsi="Arial" w:cs="Arial"/>
          <w:b/>
          <w:sz w:val="18"/>
          <w:szCs w:val="18"/>
        </w:rPr>
        <w:t>5.7.1. Warunki ogólne</w:t>
      </w:r>
    </w:p>
    <w:p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Odkład stanowi nadmiar obj</w:t>
      </w:r>
      <w:r>
        <w:rPr>
          <w:rFonts w:ascii="Arial" w:eastAsia="TTE16E60F8t00" w:hAnsi="Arial" w:cs="Arial"/>
          <w:sz w:val="18"/>
          <w:szCs w:val="18"/>
        </w:rPr>
        <w:t>ę</w:t>
      </w:r>
      <w:r>
        <w:rPr>
          <w:rFonts w:ascii="Arial" w:hAnsi="Arial" w:cs="Arial"/>
          <w:sz w:val="18"/>
          <w:szCs w:val="18"/>
        </w:rPr>
        <w:t>to</w:t>
      </w:r>
      <w:r>
        <w:rPr>
          <w:rFonts w:ascii="Arial" w:eastAsia="TTE16E60F8t00" w:hAnsi="Arial" w:cs="Arial"/>
          <w:sz w:val="18"/>
          <w:szCs w:val="18"/>
        </w:rPr>
        <w:t>ś</w:t>
      </w:r>
      <w:r>
        <w:rPr>
          <w:rFonts w:ascii="Arial" w:hAnsi="Arial" w:cs="Arial"/>
          <w:sz w:val="18"/>
          <w:szCs w:val="18"/>
        </w:rPr>
        <w:t>ci gruntów w stosunku do obj</w:t>
      </w:r>
      <w:r>
        <w:rPr>
          <w:rFonts w:ascii="Arial" w:eastAsia="TTE16E60F8t00" w:hAnsi="Arial" w:cs="Arial"/>
          <w:sz w:val="18"/>
          <w:szCs w:val="18"/>
        </w:rPr>
        <w:t>ę</w:t>
      </w:r>
      <w:r>
        <w:rPr>
          <w:rFonts w:ascii="Arial" w:hAnsi="Arial" w:cs="Arial"/>
          <w:sz w:val="18"/>
          <w:szCs w:val="18"/>
        </w:rPr>
        <w:t>to</w:t>
      </w:r>
      <w:r>
        <w:rPr>
          <w:rFonts w:ascii="Arial" w:eastAsia="TTE16E60F8t00" w:hAnsi="Arial" w:cs="Arial"/>
          <w:sz w:val="18"/>
          <w:szCs w:val="18"/>
        </w:rPr>
        <w:t>ś</w:t>
      </w:r>
      <w:r>
        <w:rPr>
          <w:rFonts w:ascii="Arial" w:hAnsi="Arial" w:cs="Arial"/>
          <w:sz w:val="18"/>
          <w:szCs w:val="18"/>
        </w:rPr>
        <w:t>ci gruntów przewidzianych do wbudowania.</w:t>
      </w:r>
    </w:p>
    <w:p w:rsidR="000D7726" w:rsidRDefault="000D7726">
      <w:pPr>
        <w:autoSpaceDE w:val="0"/>
        <w:autoSpaceDN w:val="0"/>
        <w:adjustRightInd w:val="0"/>
        <w:ind w:firstLine="708"/>
        <w:jc w:val="both"/>
        <w:rPr>
          <w:rFonts w:ascii="Arial" w:hAnsi="Arial" w:cs="Arial"/>
          <w:sz w:val="18"/>
          <w:szCs w:val="18"/>
        </w:rPr>
      </w:pPr>
    </w:p>
    <w:p w:rsidR="000D7726" w:rsidRDefault="00456F5F">
      <w:pPr>
        <w:autoSpaceDE w:val="0"/>
        <w:autoSpaceDN w:val="0"/>
        <w:adjustRightInd w:val="0"/>
        <w:jc w:val="both"/>
        <w:rPr>
          <w:rFonts w:ascii="Arial" w:hAnsi="Arial" w:cs="Arial"/>
          <w:b/>
          <w:sz w:val="18"/>
          <w:szCs w:val="18"/>
        </w:rPr>
      </w:pPr>
      <w:r>
        <w:rPr>
          <w:rFonts w:ascii="Arial" w:hAnsi="Arial" w:cs="Arial"/>
          <w:b/>
          <w:sz w:val="18"/>
          <w:szCs w:val="18"/>
        </w:rPr>
        <w:t>5.7.2. Lokalizacja odkładu</w:t>
      </w:r>
    </w:p>
    <w:p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Je</w:t>
      </w:r>
      <w:r>
        <w:rPr>
          <w:rFonts w:ascii="Arial" w:eastAsia="TTE16E60F8t00" w:hAnsi="Arial" w:cs="Arial"/>
          <w:sz w:val="18"/>
          <w:szCs w:val="18"/>
        </w:rPr>
        <w:t>ś</w:t>
      </w:r>
      <w:r>
        <w:rPr>
          <w:rFonts w:ascii="Arial" w:hAnsi="Arial" w:cs="Arial"/>
          <w:sz w:val="18"/>
          <w:szCs w:val="18"/>
        </w:rPr>
        <w:t>li pozwalaj</w:t>
      </w:r>
      <w:r>
        <w:rPr>
          <w:rFonts w:ascii="Arial" w:eastAsia="TTE16E60F8t00" w:hAnsi="Arial" w:cs="Arial"/>
          <w:sz w:val="18"/>
          <w:szCs w:val="18"/>
        </w:rPr>
        <w:t xml:space="preserve">ą </w:t>
      </w:r>
      <w:r>
        <w:rPr>
          <w:rFonts w:ascii="Arial" w:hAnsi="Arial" w:cs="Arial"/>
          <w:sz w:val="18"/>
          <w:szCs w:val="18"/>
        </w:rPr>
        <w:t>na to wła</w:t>
      </w:r>
      <w:r>
        <w:rPr>
          <w:rFonts w:ascii="Arial" w:eastAsia="TTE16E60F8t00" w:hAnsi="Arial" w:cs="Arial"/>
          <w:sz w:val="18"/>
          <w:szCs w:val="18"/>
        </w:rPr>
        <w:t>ś</w:t>
      </w:r>
      <w:r>
        <w:rPr>
          <w:rFonts w:ascii="Arial" w:hAnsi="Arial" w:cs="Arial"/>
          <w:sz w:val="18"/>
          <w:szCs w:val="18"/>
        </w:rPr>
        <w:t>ciwo</w:t>
      </w:r>
      <w:r>
        <w:rPr>
          <w:rFonts w:ascii="Arial" w:eastAsia="TTE16E60F8t00" w:hAnsi="Arial" w:cs="Arial"/>
          <w:sz w:val="18"/>
          <w:szCs w:val="18"/>
        </w:rPr>
        <w:t>ś</w:t>
      </w:r>
      <w:r>
        <w:rPr>
          <w:rFonts w:ascii="Arial" w:hAnsi="Arial" w:cs="Arial"/>
          <w:sz w:val="18"/>
          <w:szCs w:val="18"/>
        </w:rPr>
        <w:t>ci materiałów przeznaczonych do przewiezienia na odkład, materiały te powinny by</w:t>
      </w:r>
      <w:r>
        <w:rPr>
          <w:rFonts w:ascii="Arial" w:eastAsia="TTE16E60F8t00" w:hAnsi="Arial" w:cs="Arial"/>
          <w:sz w:val="18"/>
          <w:szCs w:val="18"/>
        </w:rPr>
        <w:t xml:space="preserve">ć </w:t>
      </w:r>
      <w:r>
        <w:rPr>
          <w:rFonts w:ascii="Arial" w:hAnsi="Arial" w:cs="Arial"/>
          <w:sz w:val="18"/>
          <w:szCs w:val="18"/>
        </w:rPr>
        <w:t>w razie mo</w:t>
      </w:r>
      <w:r>
        <w:rPr>
          <w:rFonts w:ascii="Arial" w:eastAsia="TTE16E60F8t00" w:hAnsi="Arial" w:cs="Arial"/>
          <w:sz w:val="18"/>
          <w:szCs w:val="18"/>
        </w:rPr>
        <w:t>ż</w:t>
      </w:r>
      <w:r>
        <w:rPr>
          <w:rFonts w:ascii="Arial" w:hAnsi="Arial" w:cs="Arial"/>
          <w:sz w:val="18"/>
          <w:szCs w:val="18"/>
        </w:rPr>
        <w:t>liwo</w:t>
      </w:r>
      <w:r>
        <w:rPr>
          <w:rFonts w:ascii="Arial" w:eastAsia="TTE16E60F8t00" w:hAnsi="Arial" w:cs="Arial"/>
          <w:sz w:val="18"/>
          <w:szCs w:val="18"/>
        </w:rPr>
        <w:t>ś</w:t>
      </w:r>
      <w:r>
        <w:rPr>
          <w:rFonts w:ascii="Arial" w:hAnsi="Arial" w:cs="Arial"/>
          <w:sz w:val="18"/>
          <w:szCs w:val="18"/>
        </w:rPr>
        <w:t>ci wykorzystane do wyrównania terenu, zasypania dołów i sztucznych wyrobisk oraz do ewentualnego poszerzenia nasypów lub na odkład. Roboty powinny by</w:t>
      </w:r>
      <w:r>
        <w:rPr>
          <w:rFonts w:ascii="Arial" w:eastAsia="TTE16E60F8t00" w:hAnsi="Arial" w:cs="Arial"/>
          <w:sz w:val="18"/>
          <w:szCs w:val="18"/>
        </w:rPr>
        <w:t xml:space="preserve">ć </w:t>
      </w:r>
      <w:r>
        <w:rPr>
          <w:rFonts w:ascii="Arial" w:hAnsi="Arial" w:cs="Arial"/>
          <w:sz w:val="18"/>
          <w:szCs w:val="18"/>
        </w:rPr>
        <w:t>wykonane zgodnie ze wskazówkami Inspektora Nadzoru.</w:t>
      </w:r>
    </w:p>
    <w:p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Miejsce odkładu ma zapewnić Wykonawca i musi być ono zaakceptowane przez Inżyniera. Niezale</w:t>
      </w:r>
      <w:r>
        <w:rPr>
          <w:rFonts w:ascii="Arial" w:eastAsia="TTE16E60F8t00" w:hAnsi="Arial" w:cs="Arial"/>
          <w:sz w:val="18"/>
          <w:szCs w:val="18"/>
        </w:rPr>
        <w:t>ż</w:t>
      </w:r>
      <w:r>
        <w:rPr>
          <w:rFonts w:ascii="Arial" w:hAnsi="Arial" w:cs="Arial"/>
          <w:sz w:val="18"/>
          <w:szCs w:val="18"/>
        </w:rPr>
        <w:t>nie od tego Wykonawca musi uzyskać zgodę właściciela terenu.</w:t>
      </w:r>
    </w:p>
    <w:p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Odkład powinien być uformowany w pryzmę o wysokości 1,5 m, pochyleniu skarp 1:1,5 i spadku korony od 2 do 5%.</w:t>
      </w:r>
    </w:p>
    <w:p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lastRenderedPageBreak/>
        <w:t>Odkłady powinny być ukształtowane, aby harmonizowały z otaczającym terenem. Powierzchnie odkładów powinny być obsiane trawą, obsadzone krzewami lub drzewami albo przeznaczone na użytki rolne lub leśne.</w:t>
      </w:r>
    </w:p>
    <w:p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Odspajanie materiału przewidzianego do przewiezienia na odkład powinno być przerwane o ile warunki atmosferyczne lub inne przyczyny uniemożliwiają jego wbudowanie zgodnie z wymaganiami sformułowanymi w STWiORB lub podanymi przez Inspektora Nadzoru.</w:t>
      </w:r>
    </w:p>
    <w:p w:rsidR="000D7726" w:rsidRDefault="00456F5F">
      <w:pPr>
        <w:autoSpaceDE w:val="0"/>
        <w:autoSpaceDN w:val="0"/>
        <w:adjustRightInd w:val="0"/>
        <w:ind w:firstLine="567"/>
        <w:jc w:val="both"/>
        <w:rPr>
          <w:rFonts w:ascii="Arial" w:hAnsi="Arial" w:cs="Arial"/>
          <w:sz w:val="18"/>
          <w:szCs w:val="18"/>
        </w:rPr>
      </w:pPr>
      <w:r>
        <w:rPr>
          <w:rFonts w:ascii="Arial" w:hAnsi="Arial" w:cs="Arial"/>
          <w:sz w:val="18"/>
          <w:szCs w:val="18"/>
        </w:rPr>
        <w:t>Przed przewiezieniem gruntu na odkład Wykonawca powinien uzyskać akceptację Inspektora Nadzoru. Jeżeli wskutek pochopnego przewiezienia gruntu na odkład przez Wykonawcę zajdzie konieczność dowiezienia gruntu do wykonania nasypów, to koszt tych czynności w całości obciąża Wykonawcę.</w:t>
      </w:r>
    </w:p>
    <w:p w:rsidR="000D7726" w:rsidRDefault="000D7726">
      <w:pPr>
        <w:autoSpaceDE w:val="0"/>
        <w:autoSpaceDN w:val="0"/>
        <w:adjustRightInd w:val="0"/>
        <w:jc w:val="both"/>
        <w:rPr>
          <w:rFonts w:ascii="Arial" w:hAnsi="Arial" w:cs="Arial"/>
          <w:sz w:val="18"/>
          <w:szCs w:val="18"/>
        </w:rPr>
      </w:pPr>
    </w:p>
    <w:p w:rsidR="000D7726" w:rsidRDefault="00456F5F">
      <w:pPr>
        <w:pStyle w:val="Nagwek2"/>
        <w:jc w:val="left"/>
        <w:rPr>
          <w:rFonts w:ascii="Arial" w:hAnsi="Arial" w:cs="Arial"/>
          <w:sz w:val="18"/>
          <w:szCs w:val="18"/>
        </w:rPr>
      </w:pPr>
      <w:r>
        <w:rPr>
          <w:rFonts w:ascii="Arial" w:hAnsi="Arial" w:cs="Arial"/>
          <w:sz w:val="18"/>
          <w:szCs w:val="18"/>
        </w:rPr>
        <w:t>5.8. Rowy</w:t>
      </w:r>
      <w:bookmarkEnd w:id="62"/>
      <w:bookmarkEnd w:id="63"/>
    </w:p>
    <w:p w:rsidR="000D7726" w:rsidRDefault="00456F5F">
      <w:pPr>
        <w:pStyle w:val="Standardowytekst"/>
        <w:spacing w:before="120"/>
        <w:ind w:left="57" w:firstLine="510"/>
        <w:rPr>
          <w:rFonts w:ascii="Arial" w:hAnsi="Arial" w:cs="Arial"/>
          <w:sz w:val="18"/>
          <w:szCs w:val="18"/>
        </w:rPr>
      </w:pPr>
      <w:r>
        <w:rPr>
          <w:rFonts w:ascii="Arial" w:hAnsi="Arial" w:cs="Arial"/>
          <w:sz w:val="18"/>
          <w:szCs w:val="18"/>
        </w:rPr>
        <w:t xml:space="preserve">Rowy boczne oraz rowy stokowe powinny być wykonane zgodnie z dokumentacją projektową </w:t>
      </w:r>
      <w:r>
        <w:rPr>
          <w:rFonts w:ascii="Arial" w:hAnsi="Arial" w:cs="Arial"/>
          <w:sz w:val="18"/>
          <w:szCs w:val="18"/>
        </w:rPr>
        <w:br/>
        <w:t xml:space="preserve">i STWiORB. Szerokość dna i głębokość rowu nie mogą różnić się od wymiarów projektowanych o więcej niż </w:t>
      </w:r>
      <w:r>
        <w:rPr>
          <w:rFonts w:ascii="Arial" w:hAnsi="Arial" w:cs="Arial"/>
          <w:sz w:val="18"/>
          <w:szCs w:val="18"/>
        </w:rPr>
        <w:sym w:font="Symbol" w:char="F0B1"/>
      </w:r>
      <w:r>
        <w:rPr>
          <w:rFonts w:ascii="Arial" w:hAnsi="Arial" w:cs="Arial"/>
          <w:sz w:val="18"/>
          <w:szCs w:val="18"/>
        </w:rPr>
        <w:t xml:space="preserve"> 5 cm. Dokładność wykonania skarp rowów powinna być zgodna z określoną dla skarp wykopów </w:t>
      </w:r>
      <w:r>
        <w:rPr>
          <w:rFonts w:ascii="Arial" w:hAnsi="Arial" w:cs="Arial"/>
          <w:sz w:val="18"/>
          <w:szCs w:val="18"/>
        </w:rPr>
        <w:br/>
        <w:t>w pkt 5.1.</w:t>
      </w:r>
    </w:p>
    <w:p w:rsidR="000D7726" w:rsidRDefault="000D7726">
      <w:pPr>
        <w:pStyle w:val="Standardowytekst"/>
        <w:ind w:left="283"/>
        <w:jc w:val="left"/>
        <w:rPr>
          <w:rFonts w:ascii="Arial" w:hAnsi="Arial" w:cs="Arial"/>
          <w:sz w:val="18"/>
          <w:szCs w:val="18"/>
        </w:rPr>
      </w:pPr>
    </w:p>
    <w:p w:rsidR="000D7726" w:rsidRDefault="000D7726">
      <w:pPr>
        <w:pStyle w:val="Standardowytekst"/>
        <w:ind w:left="283"/>
        <w:jc w:val="left"/>
        <w:rPr>
          <w:rFonts w:ascii="Arial" w:hAnsi="Arial" w:cs="Arial"/>
          <w:sz w:val="18"/>
          <w:szCs w:val="18"/>
        </w:rPr>
      </w:pPr>
    </w:p>
    <w:p w:rsidR="000D7726" w:rsidRDefault="00456F5F">
      <w:pPr>
        <w:pStyle w:val="Nagwek1"/>
        <w:jc w:val="left"/>
        <w:rPr>
          <w:rFonts w:ascii="Arial" w:hAnsi="Arial" w:cs="Arial"/>
          <w:b/>
          <w:bCs/>
          <w:sz w:val="18"/>
          <w:szCs w:val="18"/>
        </w:rPr>
      </w:pPr>
      <w:bookmarkStart w:id="64" w:name="_Toc407161226"/>
      <w:bookmarkStart w:id="65" w:name="_Toc418994930"/>
      <w:bookmarkStart w:id="66" w:name="_Toc418996337"/>
      <w:bookmarkStart w:id="67" w:name="_Toc418996706"/>
      <w:bookmarkStart w:id="68" w:name="_Toc418997093"/>
      <w:bookmarkStart w:id="69" w:name="_Toc418998503"/>
      <w:bookmarkStart w:id="70" w:name="_Toc418998859"/>
      <w:bookmarkStart w:id="71" w:name="_Toc419000104"/>
      <w:r>
        <w:rPr>
          <w:rFonts w:ascii="Arial" w:hAnsi="Arial" w:cs="Arial"/>
          <w:b/>
          <w:bCs/>
          <w:sz w:val="18"/>
          <w:szCs w:val="18"/>
        </w:rPr>
        <w:t>6. Kontrola jakości robót</w:t>
      </w:r>
      <w:bookmarkEnd w:id="64"/>
      <w:bookmarkEnd w:id="65"/>
      <w:bookmarkEnd w:id="66"/>
      <w:bookmarkEnd w:id="67"/>
      <w:bookmarkEnd w:id="68"/>
      <w:bookmarkEnd w:id="69"/>
      <w:bookmarkEnd w:id="70"/>
      <w:bookmarkEnd w:id="71"/>
    </w:p>
    <w:p w:rsidR="000D7726" w:rsidRDefault="000D7726">
      <w:pPr>
        <w:pStyle w:val="Nagwek2"/>
        <w:jc w:val="left"/>
        <w:rPr>
          <w:rFonts w:ascii="Arial" w:hAnsi="Arial" w:cs="Arial"/>
          <w:sz w:val="18"/>
          <w:szCs w:val="18"/>
        </w:rPr>
      </w:pPr>
      <w:bookmarkStart w:id="72" w:name="_Toc407161227"/>
    </w:p>
    <w:p w:rsidR="000D7726" w:rsidRDefault="00456F5F">
      <w:pPr>
        <w:pStyle w:val="Nagwek2"/>
        <w:jc w:val="left"/>
        <w:rPr>
          <w:rFonts w:ascii="Arial" w:hAnsi="Arial" w:cs="Arial"/>
          <w:sz w:val="18"/>
          <w:szCs w:val="18"/>
        </w:rPr>
      </w:pPr>
      <w:r>
        <w:rPr>
          <w:rFonts w:ascii="Arial" w:hAnsi="Arial" w:cs="Arial"/>
          <w:sz w:val="18"/>
          <w:szCs w:val="18"/>
        </w:rPr>
        <w:t>6.1. Ogólne zasady kontroli jakości robót</w:t>
      </w:r>
      <w:bookmarkEnd w:id="72"/>
    </w:p>
    <w:p w:rsidR="000D7726" w:rsidRDefault="00456F5F">
      <w:pPr>
        <w:pStyle w:val="StylIwony"/>
        <w:spacing w:before="0" w:after="0"/>
        <w:ind w:firstLine="567"/>
        <w:jc w:val="left"/>
        <w:rPr>
          <w:rFonts w:ascii="Arial" w:hAnsi="Arial" w:cs="Arial"/>
          <w:sz w:val="18"/>
          <w:szCs w:val="18"/>
        </w:rPr>
      </w:pPr>
      <w:r>
        <w:rPr>
          <w:rFonts w:ascii="Arial" w:hAnsi="Arial" w:cs="Arial"/>
          <w:sz w:val="18"/>
          <w:szCs w:val="18"/>
        </w:rPr>
        <w:t>Ogólne zasady kontroli jakości robót podano w STWiORB D-M-00.00.00. pkt 6.</w:t>
      </w:r>
    </w:p>
    <w:p w:rsidR="000D7726" w:rsidRDefault="000D7726">
      <w:pPr>
        <w:pStyle w:val="Nagwek2"/>
        <w:jc w:val="left"/>
        <w:rPr>
          <w:rFonts w:ascii="Arial" w:hAnsi="Arial" w:cs="Arial"/>
          <w:sz w:val="18"/>
          <w:szCs w:val="18"/>
        </w:rPr>
      </w:pPr>
      <w:bookmarkStart w:id="73" w:name="_Toc407161228"/>
    </w:p>
    <w:p w:rsidR="000D7726" w:rsidRDefault="00456F5F">
      <w:pPr>
        <w:pStyle w:val="Nagwek2"/>
        <w:jc w:val="left"/>
        <w:rPr>
          <w:rFonts w:ascii="Arial" w:hAnsi="Arial" w:cs="Arial"/>
          <w:sz w:val="18"/>
          <w:szCs w:val="18"/>
        </w:rPr>
      </w:pPr>
      <w:r>
        <w:rPr>
          <w:rFonts w:ascii="Arial" w:hAnsi="Arial" w:cs="Arial"/>
          <w:sz w:val="18"/>
          <w:szCs w:val="18"/>
        </w:rPr>
        <w:t>6.2. Kontrola wykonania wykopów</w:t>
      </w:r>
      <w:bookmarkEnd w:id="73"/>
    </w:p>
    <w:p w:rsidR="000D7726" w:rsidRDefault="00456F5F">
      <w:pPr>
        <w:ind w:firstLine="567"/>
        <w:jc w:val="both"/>
        <w:rPr>
          <w:rFonts w:ascii="Arial" w:hAnsi="Arial" w:cs="Arial"/>
          <w:sz w:val="18"/>
          <w:szCs w:val="18"/>
        </w:rPr>
      </w:pPr>
      <w:r>
        <w:rPr>
          <w:rFonts w:ascii="Arial" w:hAnsi="Arial" w:cs="Arial"/>
          <w:sz w:val="18"/>
          <w:szCs w:val="18"/>
        </w:rPr>
        <w:t>Kontrola wykonania wykopów polega na sprawdzeniu zgodności z wymaganiami określonymi w dokumentacji projektowej i STWiORB. W czasie kontroli szczególną uwagę należy zwrócić na:</w:t>
      </w:r>
    </w:p>
    <w:p w:rsidR="000D7726" w:rsidRDefault="00456F5F">
      <w:pPr>
        <w:numPr>
          <w:ilvl w:val="0"/>
          <w:numId w:val="28"/>
        </w:numPr>
        <w:jc w:val="both"/>
        <w:rPr>
          <w:rFonts w:ascii="Arial" w:hAnsi="Arial" w:cs="Arial"/>
          <w:sz w:val="18"/>
          <w:szCs w:val="18"/>
        </w:rPr>
      </w:pPr>
      <w:r>
        <w:rPr>
          <w:rFonts w:ascii="Arial" w:hAnsi="Arial" w:cs="Arial"/>
          <w:sz w:val="18"/>
          <w:szCs w:val="18"/>
        </w:rPr>
        <w:t>sposób odspajania gruntów nie pogarszający ich właściwości,</w:t>
      </w:r>
    </w:p>
    <w:p w:rsidR="000D7726" w:rsidRDefault="00456F5F">
      <w:pPr>
        <w:numPr>
          <w:ilvl w:val="0"/>
          <w:numId w:val="28"/>
        </w:numPr>
        <w:jc w:val="both"/>
        <w:rPr>
          <w:rFonts w:ascii="Arial" w:hAnsi="Arial" w:cs="Arial"/>
          <w:sz w:val="18"/>
          <w:szCs w:val="18"/>
        </w:rPr>
      </w:pPr>
      <w:r>
        <w:rPr>
          <w:rFonts w:ascii="Arial" w:hAnsi="Arial" w:cs="Arial"/>
          <w:sz w:val="18"/>
          <w:szCs w:val="18"/>
        </w:rPr>
        <w:t>zapewnienie stateczności skarp,</w:t>
      </w:r>
    </w:p>
    <w:p w:rsidR="000D7726" w:rsidRDefault="00456F5F">
      <w:pPr>
        <w:numPr>
          <w:ilvl w:val="0"/>
          <w:numId w:val="28"/>
        </w:numPr>
        <w:jc w:val="both"/>
        <w:rPr>
          <w:rFonts w:ascii="Arial" w:hAnsi="Arial" w:cs="Arial"/>
          <w:sz w:val="18"/>
          <w:szCs w:val="18"/>
        </w:rPr>
      </w:pPr>
      <w:r>
        <w:rPr>
          <w:rFonts w:ascii="Arial" w:hAnsi="Arial" w:cs="Arial"/>
          <w:sz w:val="18"/>
          <w:szCs w:val="18"/>
        </w:rPr>
        <w:t>odwodnienie wykopów w czasie wykonywania robót i po ich zakończeniu,</w:t>
      </w:r>
    </w:p>
    <w:p w:rsidR="000D7726" w:rsidRDefault="00456F5F">
      <w:pPr>
        <w:numPr>
          <w:ilvl w:val="0"/>
          <w:numId w:val="28"/>
        </w:numPr>
        <w:jc w:val="both"/>
        <w:rPr>
          <w:rFonts w:ascii="Arial" w:hAnsi="Arial" w:cs="Arial"/>
          <w:sz w:val="18"/>
          <w:szCs w:val="18"/>
        </w:rPr>
      </w:pPr>
      <w:r>
        <w:rPr>
          <w:rFonts w:ascii="Arial" w:hAnsi="Arial" w:cs="Arial"/>
          <w:sz w:val="18"/>
          <w:szCs w:val="18"/>
        </w:rPr>
        <w:t>dokładność wykonania wykopów (usytuowanie i wykończenie),</w:t>
      </w:r>
    </w:p>
    <w:p w:rsidR="000D7726" w:rsidRDefault="00456F5F">
      <w:pPr>
        <w:numPr>
          <w:ilvl w:val="0"/>
          <w:numId w:val="28"/>
        </w:numPr>
        <w:ind w:left="284" w:hanging="284"/>
        <w:jc w:val="both"/>
        <w:rPr>
          <w:rFonts w:ascii="Arial" w:hAnsi="Arial" w:cs="Arial"/>
          <w:sz w:val="18"/>
          <w:szCs w:val="18"/>
        </w:rPr>
      </w:pPr>
      <w:r>
        <w:rPr>
          <w:rFonts w:ascii="Arial" w:hAnsi="Arial" w:cs="Arial"/>
          <w:sz w:val="18"/>
          <w:szCs w:val="18"/>
        </w:rPr>
        <w:t>zagęszczenie i nośność górnej strefy korpusu w wykopie według wymagań określonych w pkt 5.2.</w:t>
      </w:r>
    </w:p>
    <w:p w:rsidR="000D7726" w:rsidRDefault="000D7726">
      <w:pPr>
        <w:jc w:val="both"/>
        <w:rPr>
          <w:rFonts w:ascii="Arial" w:hAnsi="Arial" w:cs="Arial"/>
          <w:b/>
          <w:sz w:val="18"/>
          <w:szCs w:val="18"/>
        </w:rPr>
      </w:pPr>
    </w:p>
    <w:p w:rsidR="000D7726" w:rsidRDefault="00456F5F">
      <w:pPr>
        <w:tabs>
          <w:tab w:val="left" w:pos="567"/>
          <w:tab w:val="left" w:pos="1020"/>
          <w:tab w:val="left" w:pos="1360"/>
          <w:tab w:val="left" w:pos="1700"/>
          <w:tab w:val="left" w:pos="2041"/>
          <w:tab w:val="left" w:pos="2380"/>
          <w:tab w:val="left" w:pos="2721"/>
          <w:tab w:val="left" w:pos="3061"/>
          <w:tab w:val="left" w:pos="3402"/>
          <w:tab w:val="left" w:pos="5668"/>
        </w:tabs>
        <w:ind w:left="567" w:hanging="567"/>
        <w:rPr>
          <w:rFonts w:ascii="Arial" w:hAnsi="Arial" w:cs="Arial"/>
          <w:sz w:val="18"/>
          <w:szCs w:val="18"/>
        </w:rPr>
      </w:pPr>
      <w:r>
        <w:rPr>
          <w:rFonts w:ascii="Arial" w:hAnsi="Arial" w:cs="Arial"/>
          <w:b/>
          <w:sz w:val="18"/>
          <w:szCs w:val="18"/>
        </w:rPr>
        <w:t xml:space="preserve">6.3. Częstotliwość oraz zakres badań i pomiarów </w:t>
      </w:r>
      <w:r>
        <w:rPr>
          <w:rFonts w:ascii="Arial" w:hAnsi="Arial" w:cs="Arial"/>
          <w:b/>
          <w:sz w:val="18"/>
          <w:szCs w:val="18"/>
        </w:rPr>
        <w:br/>
      </w:r>
      <w:r>
        <w:rPr>
          <w:rFonts w:ascii="Arial" w:hAnsi="Arial" w:cs="Arial"/>
          <w:sz w:val="18"/>
          <w:szCs w:val="18"/>
        </w:rPr>
        <w:t>Częstotliwość oraz zakres badań i pomiarów zgodnie z tablicą nr 2</w:t>
      </w:r>
    </w:p>
    <w:p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b/>
          <w:sz w:val="18"/>
          <w:szCs w:val="18"/>
        </w:rPr>
      </w:pPr>
    </w:p>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after="120"/>
        <w:rPr>
          <w:rFonts w:ascii="Arial" w:hAnsi="Arial" w:cs="Arial"/>
          <w:sz w:val="18"/>
          <w:szCs w:val="18"/>
        </w:rPr>
      </w:pPr>
      <w:r>
        <w:rPr>
          <w:rFonts w:ascii="Arial" w:hAnsi="Arial" w:cs="Arial"/>
          <w:sz w:val="18"/>
          <w:szCs w:val="18"/>
        </w:rPr>
        <w:t>Tablica nr 2  Częstotliwość oraz zakres badań i pomiarów</w:t>
      </w:r>
    </w:p>
    <w:tbl>
      <w:tblPr>
        <w:tblW w:w="9390" w:type="dxa"/>
        <w:tblInd w:w="95" w:type="dxa"/>
        <w:tblLayout w:type="fixed"/>
        <w:tblCellMar>
          <w:left w:w="96" w:type="dxa"/>
          <w:right w:w="96" w:type="dxa"/>
        </w:tblCellMar>
        <w:tblLook w:val="04A0" w:firstRow="1" w:lastRow="0" w:firstColumn="1" w:lastColumn="0" w:noHBand="0" w:noVBand="1"/>
      </w:tblPr>
      <w:tblGrid>
        <w:gridCol w:w="684"/>
        <w:gridCol w:w="2728"/>
        <w:gridCol w:w="5978"/>
      </w:tblGrid>
      <w:tr w:rsidR="000D7726">
        <w:trPr>
          <w:cantSplit/>
          <w:trHeight w:val="402"/>
        </w:trPr>
        <w:tc>
          <w:tcPr>
            <w:tcW w:w="684" w:type="dxa"/>
            <w:tcBorders>
              <w:top w:val="single" w:sz="6" w:space="0" w:color="auto"/>
              <w:left w:val="single" w:sz="6" w:space="0" w:color="auto"/>
              <w:bottom w:val="double" w:sz="6"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Lp.</w:t>
            </w:r>
          </w:p>
        </w:tc>
        <w:tc>
          <w:tcPr>
            <w:tcW w:w="2730" w:type="dxa"/>
            <w:tcBorders>
              <w:top w:val="single" w:sz="6" w:space="0" w:color="auto"/>
              <w:left w:val="single" w:sz="6" w:space="0" w:color="auto"/>
              <w:bottom w:val="double" w:sz="6"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Badana cecha</w:t>
            </w:r>
          </w:p>
        </w:tc>
        <w:tc>
          <w:tcPr>
            <w:tcW w:w="5982" w:type="dxa"/>
            <w:tcBorders>
              <w:top w:val="single" w:sz="6" w:space="0" w:color="auto"/>
              <w:left w:val="single" w:sz="6" w:space="0" w:color="auto"/>
              <w:bottom w:val="nil"/>
              <w:right w:val="single" w:sz="6" w:space="0" w:color="auto"/>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Minimalna częstotliwość badań i pomiarów</w:t>
            </w:r>
          </w:p>
        </w:tc>
      </w:tr>
      <w:tr w:rsidR="000D7726">
        <w:trPr>
          <w:cantSplit/>
          <w:trHeight w:val="402"/>
        </w:trPr>
        <w:tc>
          <w:tcPr>
            <w:tcW w:w="684" w:type="dxa"/>
            <w:tcBorders>
              <w:top w:val="nil"/>
              <w:left w:val="single" w:sz="6" w:space="0" w:color="auto"/>
              <w:bottom w:val="nil"/>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1</w:t>
            </w:r>
          </w:p>
        </w:tc>
        <w:tc>
          <w:tcPr>
            <w:tcW w:w="2730" w:type="dxa"/>
            <w:tcBorders>
              <w:top w:val="nil"/>
              <w:left w:val="single" w:sz="6" w:space="0" w:color="auto"/>
              <w:bottom w:val="nil"/>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szerokości korpusu ziemnego</w:t>
            </w:r>
          </w:p>
        </w:tc>
        <w:tc>
          <w:tcPr>
            <w:tcW w:w="5982" w:type="dxa"/>
            <w:vMerge w:val="restart"/>
            <w:tcBorders>
              <w:top w:val="double" w:sz="6" w:space="0" w:color="auto"/>
              <w:left w:val="single" w:sz="6" w:space="0" w:color="auto"/>
              <w:bottom w:val="single" w:sz="4" w:space="0" w:color="auto"/>
              <w:right w:val="single" w:sz="6" w:space="0" w:color="auto"/>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 xml:space="preserve">Pomiar taśmą, szablonem, łatą o długości </w:t>
            </w:r>
            <w:smartTag w:uri="urn:schemas-microsoft-com:office:smarttags" w:element="metricconverter">
              <w:smartTagPr>
                <w:attr w:name="ProductID" w:val="3 m"/>
              </w:smartTagPr>
              <w:r>
                <w:rPr>
                  <w:rFonts w:ascii="Arial" w:hAnsi="Arial" w:cs="Arial"/>
                  <w:sz w:val="18"/>
                  <w:szCs w:val="18"/>
                </w:rPr>
                <w:t>3 m</w:t>
              </w:r>
            </w:smartTag>
            <w:r>
              <w:rPr>
                <w:rFonts w:ascii="Arial" w:hAnsi="Arial" w:cs="Arial"/>
                <w:sz w:val="18"/>
                <w:szCs w:val="18"/>
              </w:rPr>
              <w:t xml:space="preserve"> i poziomicą lub niwelatorem, w odstępach co </w:t>
            </w:r>
            <w:smartTag w:uri="urn:schemas-microsoft-com:office:smarttags" w:element="metricconverter">
              <w:smartTagPr>
                <w:attr w:name="ProductID" w:val="200 m"/>
              </w:smartTagPr>
              <w:r>
                <w:rPr>
                  <w:rFonts w:ascii="Arial" w:hAnsi="Arial" w:cs="Arial"/>
                  <w:sz w:val="18"/>
                  <w:szCs w:val="18"/>
                </w:rPr>
                <w:t>200 m</w:t>
              </w:r>
            </w:smartTag>
            <w:r>
              <w:rPr>
                <w:rFonts w:ascii="Arial" w:hAnsi="Arial" w:cs="Arial"/>
                <w:sz w:val="18"/>
                <w:szCs w:val="18"/>
              </w:rPr>
              <w:t xml:space="preserve"> na prostych, w punktach głównych łuku, co </w:t>
            </w:r>
            <w:smartTag w:uri="urn:schemas-microsoft-com:office:smarttags" w:element="metricconverter">
              <w:smartTagPr>
                <w:attr w:name="ProductID" w:val="100 m"/>
              </w:smartTagPr>
              <w:r>
                <w:rPr>
                  <w:rFonts w:ascii="Arial" w:hAnsi="Arial" w:cs="Arial"/>
                  <w:sz w:val="18"/>
                  <w:szCs w:val="18"/>
                </w:rPr>
                <w:t>100 m</w:t>
              </w:r>
            </w:smartTag>
            <w:r>
              <w:rPr>
                <w:rFonts w:ascii="Arial" w:hAnsi="Arial" w:cs="Arial"/>
                <w:sz w:val="18"/>
                <w:szCs w:val="18"/>
              </w:rPr>
              <w:t xml:space="preserve"> na łukach o R ≥ </w:t>
            </w:r>
            <w:smartTag w:uri="urn:schemas-microsoft-com:office:smarttags" w:element="metricconverter">
              <w:smartTagPr>
                <w:attr w:name="ProductID" w:val="100 m"/>
              </w:smartTagPr>
              <w:r>
                <w:rPr>
                  <w:rFonts w:ascii="Arial" w:hAnsi="Arial" w:cs="Arial"/>
                  <w:sz w:val="18"/>
                  <w:szCs w:val="18"/>
                </w:rPr>
                <w:t>100 m</w:t>
              </w:r>
            </w:smartTag>
            <w:r>
              <w:rPr>
                <w:rFonts w:ascii="Arial" w:hAnsi="Arial" w:cs="Arial"/>
                <w:sz w:val="18"/>
                <w:szCs w:val="18"/>
              </w:rPr>
              <w:t xml:space="preserve"> co </w:t>
            </w:r>
            <w:smartTag w:uri="urn:schemas-microsoft-com:office:smarttags" w:element="metricconverter">
              <w:smartTagPr>
                <w:attr w:name="ProductID" w:val="50 m"/>
              </w:smartTagPr>
              <w:r>
                <w:rPr>
                  <w:rFonts w:ascii="Arial" w:hAnsi="Arial" w:cs="Arial"/>
                  <w:sz w:val="18"/>
                  <w:szCs w:val="18"/>
                </w:rPr>
                <w:t>50 m</w:t>
              </w:r>
            </w:smartTag>
            <w:r>
              <w:rPr>
                <w:rFonts w:ascii="Arial" w:hAnsi="Arial" w:cs="Arial"/>
                <w:sz w:val="18"/>
                <w:szCs w:val="18"/>
              </w:rPr>
              <w:t xml:space="preserve"> na łukach o R&lt;</w:t>
            </w:r>
            <w:smartTag w:uri="urn:schemas-microsoft-com:office:smarttags" w:element="metricconverter">
              <w:smartTagPr>
                <w:attr w:name="ProductID" w:val="100 m"/>
              </w:smartTagPr>
              <w:r>
                <w:rPr>
                  <w:rFonts w:ascii="Arial" w:hAnsi="Arial" w:cs="Arial"/>
                  <w:sz w:val="18"/>
                  <w:szCs w:val="18"/>
                </w:rPr>
                <w:t>100 m</w:t>
              </w:r>
            </w:smartTag>
            <w:r>
              <w:rPr>
                <w:rFonts w:ascii="Arial" w:hAnsi="Arial" w:cs="Arial"/>
                <w:sz w:val="18"/>
                <w:szCs w:val="18"/>
              </w:rPr>
              <w:t xml:space="preserve"> oraz w miejscach, które budzą wątpliwości</w:t>
            </w:r>
          </w:p>
        </w:tc>
      </w:tr>
      <w:tr w:rsidR="000D7726">
        <w:trPr>
          <w:cantSplit/>
          <w:trHeight w:val="402"/>
        </w:trPr>
        <w:tc>
          <w:tcPr>
            <w:tcW w:w="684" w:type="dxa"/>
            <w:tcBorders>
              <w:top w:val="single" w:sz="6" w:space="0" w:color="auto"/>
              <w:left w:val="single" w:sz="6" w:space="0" w:color="auto"/>
              <w:bottom w:val="nil"/>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2</w:t>
            </w:r>
          </w:p>
        </w:tc>
        <w:tc>
          <w:tcPr>
            <w:tcW w:w="2730" w:type="dxa"/>
            <w:tcBorders>
              <w:top w:val="single" w:sz="6" w:space="0" w:color="auto"/>
              <w:left w:val="single" w:sz="6" w:space="0" w:color="auto"/>
              <w:bottom w:val="nil"/>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sz w:val="18"/>
                <w:szCs w:val="18"/>
              </w:rPr>
            </w:pPr>
            <w:r>
              <w:rPr>
                <w:rFonts w:ascii="Arial" w:hAnsi="Arial" w:cs="Arial"/>
                <w:sz w:val="18"/>
                <w:szCs w:val="18"/>
              </w:rPr>
              <w:t>Pomiar szerokości dna rowów</w:t>
            </w:r>
          </w:p>
        </w:tc>
        <w:tc>
          <w:tcPr>
            <w:tcW w:w="5982" w:type="dxa"/>
            <w:vMerge/>
            <w:tcBorders>
              <w:top w:val="double" w:sz="6" w:space="0" w:color="auto"/>
              <w:left w:val="single" w:sz="6" w:space="0" w:color="auto"/>
              <w:bottom w:val="single" w:sz="4" w:space="0" w:color="auto"/>
              <w:right w:val="single" w:sz="6" w:space="0" w:color="auto"/>
            </w:tcBorders>
            <w:vAlign w:val="center"/>
            <w:hideMark/>
          </w:tcPr>
          <w:p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p>
        </w:tc>
      </w:tr>
      <w:tr w:rsidR="000D7726">
        <w:trPr>
          <w:cantSplit/>
          <w:trHeight w:val="402"/>
        </w:trPr>
        <w:tc>
          <w:tcPr>
            <w:tcW w:w="684" w:type="dxa"/>
            <w:tcBorders>
              <w:top w:val="single" w:sz="6" w:space="0" w:color="auto"/>
              <w:left w:val="single" w:sz="6" w:space="0" w:color="auto"/>
              <w:bottom w:val="nil"/>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3</w:t>
            </w:r>
          </w:p>
        </w:tc>
        <w:tc>
          <w:tcPr>
            <w:tcW w:w="2730" w:type="dxa"/>
            <w:tcBorders>
              <w:top w:val="single" w:sz="6" w:space="0" w:color="auto"/>
              <w:left w:val="single" w:sz="6" w:space="0" w:color="auto"/>
              <w:bottom w:val="nil"/>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pochylenia skarp</w:t>
            </w:r>
          </w:p>
        </w:tc>
        <w:tc>
          <w:tcPr>
            <w:tcW w:w="5982" w:type="dxa"/>
            <w:vMerge/>
            <w:tcBorders>
              <w:top w:val="double" w:sz="6" w:space="0" w:color="auto"/>
              <w:left w:val="single" w:sz="6" w:space="0" w:color="auto"/>
              <w:bottom w:val="single" w:sz="4" w:space="0" w:color="auto"/>
              <w:right w:val="single" w:sz="6" w:space="0" w:color="auto"/>
            </w:tcBorders>
            <w:vAlign w:val="center"/>
            <w:hideMark/>
          </w:tcPr>
          <w:p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p>
        </w:tc>
      </w:tr>
      <w:tr w:rsidR="000D7726">
        <w:trPr>
          <w:cantSplit/>
          <w:trHeight w:val="402"/>
        </w:trPr>
        <w:tc>
          <w:tcPr>
            <w:tcW w:w="684" w:type="dxa"/>
            <w:tcBorders>
              <w:top w:val="single" w:sz="6" w:space="0" w:color="auto"/>
              <w:left w:val="single" w:sz="6" w:space="0" w:color="auto"/>
              <w:bottom w:val="nil"/>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4</w:t>
            </w:r>
          </w:p>
        </w:tc>
        <w:tc>
          <w:tcPr>
            <w:tcW w:w="2730" w:type="dxa"/>
            <w:tcBorders>
              <w:top w:val="single" w:sz="6" w:space="0" w:color="auto"/>
              <w:left w:val="single" w:sz="6" w:space="0" w:color="auto"/>
              <w:bottom w:val="nil"/>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sz w:val="18"/>
                <w:szCs w:val="18"/>
              </w:rPr>
            </w:pPr>
            <w:r>
              <w:rPr>
                <w:rFonts w:ascii="Arial" w:hAnsi="Arial" w:cs="Arial"/>
                <w:sz w:val="18"/>
                <w:szCs w:val="18"/>
              </w:rPr>
              <w:t>Pomiar równości powierzchni korpusu</w:t>
            </w:r>
          </w:p>
        </w:tc>
        <w:tc>
          <w:tcPr>
            <w:tcW w:w="5982" w:type="dxa"/>
            <w:vMerge/>
            <w:tcBorders>
              <w:top w:val="double" w:sz="6" w:space="0" w:color="auto"/>
              <w:left w:val="single" w:sz="6" w:space="0" w:color="auto"/>
              <w:bottom w:val="single" w:sz="4" w:space="0" w:color="auto"/>
              <w:right w:val="single" w:sz="6" w:space="0" w:color="auto"/>
            </w:tcBorders>
            <w:vAlign w:val="center"/>
            <w:hideMark/>
          </w:tcPr>
          <w:p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p>
        </w:tc>
      </w:tr>
      <w:tr w:rsidR="000D7726">
        <w:trPr>
          <w:cantSplit/>
          <w:trHeight w:val="402"/>
        </w:trPr>
        <w:tc>
          <w:tcPr>
            <w:tcW w:w="684" w:type="dxa"/>
            <w:tcBorders>
              <w:top w:val="single" w:sz="6" w:space="0" w:color="auto"/>
              <w:left w:val="single" w:sz="6" w:space="0" w:color="auto"/>
              <w:bottom w:val="single" w:sz="4"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5</w:t>
            </w:r>
          </w:p>
        </w:tc>
        <w:tc>
          <w:tcPr>
            <w:tcW w:w="2730" w:type="dxa"/>
            <w:tcBorders>
              <w:top w:val="single" w:sz="6" w:space="0" w:color="auto"/>
              <w:left w:val="single" w:sz="6" w:space="0" w:color="auto"/>
              <w:bottom w:val="single" w:sz="4"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równości skarp</w:t>
            </w:r>
          </w:p>
        </w:tc>
        <w:tc>
          <w:tcPr>
            <w:tcW w:w="5982" w:type="dxa"/>
            <w:vMerge/>
            <w:tcBorders>
              <w:top w:val="double" w:sz="6" w:space="0" w:color="auto"/>
              <w:left w:val="single" w:sz="6" w:space="0" w:color="auto"/>
              <w:bottom w:val="single" w:sz="4" w:space="0" w:color="auto"/>
              <w:right w:val="single" w:sz="6" w:space="0" w:color="auto"/>
            </w:tcBorders>
            <w:vAlign w:val="center"/>
            <w:hideMark/>
          </w:tcPr>
          <w:p w:rsidR="000D7726" w:rsidRDefault="000D772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p>
        </w:tc>
      </w:tr>
      <w:tr w:rsidR="000D7726">
        <w:trPr>
          <w:cantSplit/>
          <w:trHeight w:val="402"/>
        </w:trPr>
        <w:tc>
          <w:tcPr>
            <w:tcW w:w="684" w:type="dxa"/>
            <w:tcBorders>
              <w:top w:val="single" w:sz="4" w:space="0" w:color="auto"/>
              <w:left w:val="single" w:sz="4" w:space="0" w:color="auto"/>
              <w:bottom w:val="single" w:sz="4"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6</w:t>
            </w:r>
          </w:p>
        </w:tc>
        <w:tc>
          <w:tcPr>
            <w:tcW w:w="2730" w:type="dxa"/>
            <w:tcBorders>
              <w:top w:val="single" w:sz="4" w:space="0" w:color="auto"/>
              <w:left w:val="single" w:sz="6" w:space="0" w:color="auto"/>
              <w:bottom w:val="single" w:sz="4"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sz w:val="18"/>
                <w:szCs w:val="18"/>
              </w:rPr>
            </w:pPr>
            <w:r>
              <w:rPr>
                <w:rFonts w:ascii="Arial" w:hAnsi="Arial" w:cs="Arial"/>
                <w:sz w:val="18"/>
                <w:szCs w:val="18"/>
              </w:rPr>
              <w:t>Pomiar rzędnych powierzchni korpusu ziemnego</w:t>
            </w:r>
          </w:p>
        </w:tc>
        <w:tc>
          <w:tcPr>
            <w:tcW w:w="5982" w:type="dxa"/>
            <w:tcBorders>
              <w:top w:val="single" w:sz="4" w:space="0" w:color="auto"/>
              <w:left w:val="single" w:sz="6" w:space="0" w:color="auto"/>
              <w:bottom w:val="single" w:sz="4" w:space="0" w:color="auto"/>
              <w:right w:val="single" w:sz="4" w:space="0" w:color="auto"/>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 xml:space="preserve">Rzędne w osi podłużnej jezdni i krawędzi jezdni co 20m a na krzywych co </w:t>
            </w:r>
            <w:smartTag w:uri="urn:schemas-microsoft-com:office:smarttags" w:element="metricconverter">
              <w:smartTagPr>
                <w:attr w:name="ProductID" w:val="10 m"/>
              </w:smartTagPr>
              <w:r>
                <w:rPr>
                  <w:rFonts w:ascii="Arial" w:hAnsi="Arial" w:cs="Arial"/>
                  <w:sz w:val="18"/>
                  <w:szCs w:val="18"/>
                </w:rPr>
                <w:t>10 m</w:t>
              </w:r>
            </w:smartTag>
            <w:r>
              <w:rPr>
                <w:rFonts w:ascii="Arial" w:hAnsi="Arial" w:cs="Arial"/>
                <w:sz w:val="18"/>
                <w:szCs w:val="18"/>
              </w:rPr>
              <w:t xml:space="preserve"> niwelatorem</w:t>
            </w:r>
          </w:p>
        </w:tc>
      </w:tr>
      <w:tr w:rsidR="000D7726">
        <w:trPr>
          <w:cantSplit/>
          <w:trHeight w:val="402"/>
        </w:trPr>
        <w:tc>
          <w:tcPr>
            <w:tcW w:w="684" w:type="dxa"/>
            <w:tcBorders>
              <w:top w:val="single" w:sz="4" w:space="0" w:color="auto"/>
              <w:left w:val="single" w:sz="4" w:space="0" w:color="auto"/>
              <w:bottom w:val="single" w:sz="4"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7</w:t>
            </w:r>
          </w:p>
        </w:tc>
        <w:tc>
          <w:tcPr>
            <w:tcW w:w="2730" w:type="dxa"/>
            <w:tcBorders>
              <w:top w:val="single" w:sz="4" w:space="0" w:color="auto"/>
              <w:left w:val="single" w:sz="6" w:space="0" w:color="auto"/>
              <w:bottom w:val="single" w:sz="4"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spadku podłużnego powierzchni korpusu lub dna rowu</w:t>
            </w:r>
          </w:p>
        </w:tc>
        <w:tc>
          <w:tcPr>
            <w:tcW w:w="5982" w:type="dxa"/>
            <w:tcBorders>
              <w:top w:val="single" w:sz="4" w:space="0" w:color="auto"/>
              <w:left w:val="single" w:sz="6" w:space="0" w:color="auto"/>
              <w:bottom w:val="single" w:sz="4" w:space="0" w:color="auto"/>
              <w:right w:val="single" w:sz="4" w:space="0" w:color="auto"/>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Pomiar niwelatorem rzędnych w odstępach co 200m oraz w punktach wątpliwych</w:t>
            </w:r>
          </w:p>
        </w:tc>
      </w:tr>
      <w:tr w:rsidR="000D7726">
        <w:trPr>
          <w:cantSplit/>
          <w:trHeight w:val="402"/>
        </w:trPr>
        <w:tc>
          <w:tcPr>
            <w:tcW w:w="684" w:type="dxa"/>
            <w:tcBorders>
              <w:top w:val="single" w:sz="4" w:space="0" w:color="auto"/>
              <w:left w:val="single" w:sz="6" w:space="0" w:color="auto"/>
              <w:bottom w:val="single" w:sz="6"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8</w:t>
            </w:r>
          </w:p>
        </w:tc>
        <w:tc>
          <w:tcPr>
            <w:tcW w:w="2730" w:type="dxa"/>
            <w:tcBorders>
              <w:top w:val="single" w:sz="4" w:space="0" w:color="auto"/>
              <w:left w:val="single" w:sz="6" w:space="0" w:color="auto"/>
              <w:bottom w:val="single" w:sz="6" w:space="0" w:color="auto"/>
              <w:right w:val="nil"/>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rFonts w:ascii="Arial" w:hAnsi="Arial" w:cs="Arial"/>
                <w:sz w:val="18"/>
                <w:szCs w:val="18"/>
              </w:rPr>
            </w:pPr>
            <w:r>
              <w:rPr>
                <w:rFonts w:ascii="Arial" w:hAnsi="Arial" w:cs="Arial"/>
                <w:sz w:val="18"/>
                <w:szCs w:val="18"/>
              </w:rPr>
              <w:t>Badanie zagęszczenia gruntu i nośności</w:t>
            </w:r>
          </w:p>
        </w:tc>
        <w:tc>
          <w:tcPr>
            <w:tcW w:w="5982" w:type="dxa"/>
            <w:tcBorders>
              <w:top w:val="single" w:sz="4" w:space="0" w:color="auto"/>
              <w:left w:val="single" w:sz="6" w:space="0" w:color="auto"/>
              <w:bottom w:val="single" w:sz="6" w:space="0" w:color="auto"/>
              <w:right w:val="single" w:sz="6" w:space="0" w:color="auto"/>
            </w:tcBorders>
            <w:vAlign w:val="center"/>
            <w:hideMark/>
          </w:tcPr>
          <w:p w:rsidR="000D7726" w:rsidRDefault="00456F5F">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rFonts w:ascii="Arial" w:hAnsi="Arial" w:cs="Arial"/>
                <w:sz w:val="18"/>
                <w:szCs w:val="18"/>
              </w:rPr>
            </w:pPr>
            <w:r>
              <w:rPr>
                <w:rFonts w:ascii="Arial" w:hAnsi="Arial" w:cs="Arial"/>
                <w:sz w:val="18"/>
                <w:szCs w:val="18"/>
              </w:rPr>
              <w:t xml:space="preserve">Wskaźnik zagęszczenia i nośność określać dla górnej strefy korpusu (warstwy o grubości 50 cm – do głębokości </w:t>
            </w:r>
            <w:smartTag w:uri="urn:schemas-microsoft-com:office:smarttags" w:element="metricconverter">
              <w:smartTagPr>
                <w:attr w:name="ProductID" w:val="50 cm"/>
              </w:smartTagPr>
              <w:r>
                <w:rPr>
                  <w:rFonts w:ascii="Arial" w:hAnsi="Arial" w:cs="Arial"/>
                  <w:sz w:val="18"/>
                  <w:szCs w:val="18"/>
                </w:rPr>
                <w:t>50 cm</w:t>
              </w:r>
            </w:smartTag>
            <w:r>
              <w:rPr>
                <w:rFonts w:ascii="Arial" w:hAnsi="Arial" w:cs="Arial"/>
                <w:sz w:val="18"/>
                <w:szCs w:val="18"/>
              </w:rPr>
              <w:t xml:space="preserve"> od powierzchni robót ziemnych), nie rzadziej niż raz na każde 500 m</w:t>
            </w:r>
            <w:r>
              <w:rPr>
                <w:rFonts w:ascii="Arial" w:hAnsi="Arial" w:cs="Arial"/>
                <w:sz w:val="18"/>
                <w:szCs w:val="18"/>
                <w:vertAlign w:val="superscript"/>
              </w:rPr>
              <w:t>2</w:t>
            </w:r>
            <w:r>
              <w:rPr>
                <w:rFonts w:ascii="Arial" w:hAnsi="Arial" w:cs="Arial"/>
                <w:sz w:val="18"/>
                <w:szCs w:val="18"/>
              </w:rPr>
              <w:t xml:space="preserve"> powierzchni gruntu</w:t>
            </w:r>
          </w:p>
        </w:tc>
      </w:tr>
    </w:tbl>
    <w:p w:rsidR="000D7726" w:rsidRDefault="000D7726">
      <w:pPr>
        <w:jc w:val="both"/>
        <w:rPr>
          <w:rFonts w:ascii="Arial" w:hAnsi="Arial" w:cs="Arial"/>
          <w:sz w:val="18"/>
          <w:szCs w:val="18"/>
        </w:rPr>
      </w:pPr>
    </w:p>
    <w:p w:rsidR="000D7726" w:rsidRDefault="000D7726">
      <w:pPr>
        <w:jc w:val="both"/>
        <w:rPr>
          <w:rFonts w:ascii="Arial" w:hAnsi="Arial" w:cs="Arial"/>
          <w:sz w:val="18"/>
          <w:szCs w:val="18"/>
        </w:rPr>
      </w:pPr>
    </w:p>
    <w:p w:rsidR="000D7726" w:rsidRDefault="00456F5F">
      <w:pPr>
        <w:pStyle w:val="Nagwek1"/>
        <w:jc w:val="left"/>
        <w:rPr>
          <w:rFonts w:ascii="Arial" w:hAnsi="Arial" w:cs="Arial"/>
          <w:b/>
          <w:bCs/>
          <w:sz w:val="18"/>
          <w:szCs w:val="18"/>
        </w:rPr>
      </w:pPr>
      <w:bookmarkStart w:id="74" w:name="_Toc407161229"/>
      <w:bookmarkStart w:id="75" w:name="_Toc418994931"/>
      <w:bookmarkStart w:id="76" w:name="_Toc418996338"/>
      <w:bookmarkStart w:id="77" w:name="_Toc418996707"/>
      <w:bookmarkStart w:id="78" w:name="_Toc418997094"/>
      <w:bookmarkStart w:id="79" w:name="_Toc418998504"/>
      <w:bookmarkStart w:id="80" w:name="_Toc418998860"/>
      <w:bookmarkStart w:id="81" w:name="_Toc419000105"/>
      <w:r>
        <w:rPr>
          <w:rFonts w:ascii="Arial" w:hAnsi="Arial" w:cs="Arial"/>
          <w:b/>
          <w:bCs/>
          <w:sz w:val="18"/>
          <w:szCs w:val="18"/>
        </w:rPr>
        <w:t>7. Obmiar robót</w:t>
      </w:r>
      <w:bookmarkEnd w:id="74"/>
      <w:bookmarkEnd w:id="75"/>
      <w:bookmarkEnd w:id="76"/>
      <w:bookmarkEnd w:id="77"/>
      <w:bookmarkEnd w:id="78"/>
      <w:bookmarkEnd w:id="79"/>
      <w:bookmarkEnd w:id="80"/>
      <w:bookmarkEnd w:id="81"/>
    </w:p>
    <w:p w:rsidR="000D7726" w:rsidRDefault="000D7726">
      <w:pPr>
        <w:pStyle w:val="Nagwek2"/>
        <w:jc w:val="left"/>
        <w:rPr>
          <w:rFonts w:ascii="Arial" w:hAnsi="Arial" w:cs="Arial"/>
          <w:sz w:val="18"/>
          <w:szCs w:val="18"/>
        </w:rPr>
      </w:pPr>
      <w:bookmarkStart w:id="82" w:name="_Toc407161230"/>
    </w:p>
    <w:p w:rsidR="000D7726" w:rsidRDefault="00456F5F">
      <w:pPr>
        <w:pStyle w:val="Nagwek2"/>
        <w:jc w:val="left"/>
        <w:rPr>
          <w:rFonts w:ascii="Arial" w:hAnsi="Arial" w:cs="Arial"/>
          <w:sz w:val="18"/>
          <w:szCs w:val="18"/>
        </w:rPr>
      </w:pPr>
      <w:r>
        <w:rPr>
          <w:rFonts w:ascii="Arial" w:hAnsi="Arial" w:cs="Arial"/>
          <w:sz w:val="18"/>
          <w:szCs w:val="18"/>
        </w:rPr>
        <w:t>7.1. Ogólne zasady obmiaru robót</w:t>
      </w:r>
      <w:bookmarkEnd w:id="82"/>
    </w:p>
    <w:p w:rsidR="000D7726" w:rsidRDefault="00456F5F">
      <w:pPr>
        <w:jc w:val="both"/>
        <w:rPr>
          <w:rFonts w:ascii="Arial" w:hAnsi="Arial" w:cs="Arial"/>
          <w:sz w:val="18"/>
          <w:szCs w:val="18"/>
        </w:rPr>
      </w:pPr>
      <w:r>
        <w:rPr>
          <w:rFonts w:ascii="Arial" w:hAnsi="Arial" w:cs="Arial"/>
          <w:sz w:val="18"/>
          <w:szCs w:val="18"/>
        </w:rPr>
        <w:tab/>
        <w:t>Ogólne zasady obmiaru robót podano w STWiORB D-M 00.00.00. pkt 7.</w:t>
      </w:r>
    </w:p>
    <w:p w:rsidR="000D7726" w:rsidRDefault="00456F5F">
      <w:pPr>
        <w:pStyle w:val="Nagwek2"/>
        <w:jc w:val="left"/>
        <w:rPr>
          <w:rFonts w:ascii="Arial" w:hAnsi="Arial" w:cs="Arial"/>
          <w:sz w:val="18"/>
          <w:szCs w:val="18"/>
        </w:rPr>
      </w:pPr>
      <w:bookmarkStart w:id="83" w:name="_Toc407161231"/>
      <w:r>
        <w:rPr>
          <w:rFonts w:ascii="Arial" w:hAnsi="Arial" w:cs="Arial"/>
          <w:sz w:val="18"/>
          <w:szCs w:val="18"/>
        </w:rPr>
        <w:t>7.2. Jednostka obmiarowa</w:t>
      </w:r>
      <w:bookmarkEnd w:id="83"/>
    </w:p>
    <w:p w:rsidR="000D7726" w:rsidRDefault="00456F5F">
      <w:pPr>
        <w:spacing w:before="60"/>
        <w:ind w:left="567"/>
        <w:jc w:val="both"/>
        <w:rPr>
          <w:rFonts w:ascii="Arial" w:hAnsi="Arial" w:cs="Arial"/>
          <w:sz w:val="18"/>
          <w:szCs w:val="18"/>
        </w:rPr>
      </w:pPr>
      <w:r>
        <w:rPr>
          <w:rFonts w:ascii="Arial" w:hAnsi="Arial" w:cs="Arial"/>
          <w:sz w:val="18"/>
          <w:szCs w:val="18"/>
        </w:rPr>
        <w:t>Jednostką obmiarową jest m</w:t>
      </w:r>
      <w:r>
        <w:rPr>
          <w:rFonts w:ascii="Arial" w:hAnsi="Arial" w:cs="Arial"/>
          <w:sz w:val="18"/>
          <w:szCs w:val="18"/>
          <w:vertAlign w:val="superscript"/>
        </w:rPr>
        <w:t>3</w:t>
      </w:r>
      <w:r>
        <w:rPr>
          <w:rFonts w:ascii="Arial" w:hAnsi="Arial" w:cs="Arial"/>
          <w:sz w:val="18"/>
          <w:szCs w:val="18"/>
        </w:rPr>
        <w:t xml:space="preserve"> (metr sześcienny) wykonanego wykopu.</w:t>
      </w:r>
    </w:p>
    <w:p w:rsidR="000D7726" w:rsidRDefault="000D7726">
      <w:pPr>
        <w:jc w:val="both"/>
        <w:rPr>
          <w:rFonts w:ascii="Arial" w:hAnsi="Arial" w:cs="Arial"/>
          <w:sz w:val="18"/>
          <w:szCs w:val="18"/>
        </w:rPr>
      </w:pPr>
    </w:p>
    <w:p w:rsidR="000D7726" w:rsidRDefault="000D7726">
      <w:pPr>
        <w:jc w:val="both"/>
        <w:rPr>
          <w:rFonts w:ascii="Arial" w:hAnsi="Arial" w:cs="Arial"/>
          <w:sz w:val="18"/>
          <w:szCs w:val="18"/>
        </w:rPr>
      </w:pPr>
    </w:p>
    <w:p w:rsidR="000D7726" w:rsidRDefault="00456F5F">
      <w:pPr>
        <w:pStyle w:val="Nagwek1"/>
        <w:jc w:val="left"/>
        <w:rPr>
          <w:rFonts w:ascii="Arial" w:hAnsi="Arial" w:cs="Arial"/>
          <w:b/>
          <w:bCs/>
          <w:sz w:val="18"/>
          <w:szCs w:val="18"/>
        </w:rPr>
      </w:pPr>
      <w:bookmarkStart w:id="84" w:name="_Toc407161232"/>
      <w:bookmarkStart w:id="85" w:name="_Toc418994932"/>
      <w:bookmarkStart w:id="86" w:name="_Toc418996339"/>
      <w:bookmarkStart w:id="87" w:name="_Toc418996708"/>
      <w:bookmarkStart w:id="88" w:name="_Toc418997095"/>
      <w:bookmarkStart w:id="89" w:name="_Toc418998505"/>
      <w:bookmarkStart w:id="90" w:name="_Toc418998861"/>
      <w:bookmarkStart w:id="91" w:name="_Toc419000106"/>
      <w:r>
        <w:rPr>
          <w:rFonts w:ascii="Arial" w:hAnsi="Arial" w:cs="Arial"/>
          <w:b/>
          <w:bCs/>
          <w:sz w:val="18"/>
          <w:szCs w:val="18"/>
        </w:rPr>
        <w:lastRenderedPageBreak/>
        <w:t>8. Odbiór robót</w:t>
      </w:r>
      <w:bookmarkEnd w:id="84"/>
      <w:bookmarkEnd w:id="85"/>
      <w:bookmarkEnd w:id="86"/>
      <w:bookmarkEnd w:id="87"/>
      <w:bookmarkEnd w:id="88"/>
      <w:bookmarkEnd w:id="89"/>
      <w:bookmarkEnd w:id="90"/>
      <w:bookmarkEnd w:id="91"/>
    </w:p>
    <w:p w:rsidR="000D7726" w:rsidRDefault="00456F5F">
      <w:pPr>
        <w:spacing w:after="120"/>
        <w:ind w:firstLine="567"/>
        <w:jc w:val="both"/>
        <w:rPr>
          <w:rFonts w:ascii="Arial" w:hAnsi="Arial" w:cs="Arial"/>
          <w:sz w:val="18"/>
          <w:szCs w:val="18"/>
        </w:rPr>
      </w:pPr>
      <w:r>
        <w:rPr>
          <w:rFonts w:ascii="Arial" w:hAnsi="Arial" w:cs="Arial"/>
          <w:sz w:val="18"/>
          <w:szCs w:val="18"/>
        </w:rPr>
        <w:t>Ogólne zasady odbioru robót podano w STWiORB D-M 00.00.00. pkt 8.</w:t>
      </w:r>
    </w:p>
    <w:p w:rsidR="000D7726" w:rsidRDefault="000D7726">
      <w:pPr>
        <w:jc w:val="both"/>
        <w:rPr>
          <w:rFonts w:ascii="Arial" w:hAnsi="Arial" w:cs="Arial"/>
          <w:sz w:val="18"/>
          <w:szCs w:val="18"/>
        </w:rPr>
      </w:pPr>
    </w:p>
    <w:p w:rsidR="000D7726" w:rsidRDefault="000D7726">
      <w:pPr>
        <w:jc w:val="both"/>
        <w:rPr>
          <w:rFonts w:ascii="Arial" w:hAnsi="Arial" w:cs="Arial"/>
          <w:sz w:val="18"/>
          <w:szCs w:val="18"/>
        </w:rPr>
      </w:pPr>
    </w:p>
    <w:p w:rsidR="000D7726" w:rsidRDefault="00456F5F">
      <w:pPr>
        <w:pStyle w:val="Nagwek1"/>
        <w:jc w:val="left"/>
        <w:rPr>
          <w:rFonts w:ascii="Arial" w:hAnsi="Arial" w:cs="Arial"/>
          <w:b/>
          <w:bCs/>
          <w:sz w:val="18"/>
          <w:szCs w:val="18"/>
        </w:rPr>
      </w:pPr>
      <w:bookmarkStart w:id="92" w:name="_Toc407161233"/>
      <w:bookmarkStart w:id="93" w:name="_Toc418994933"/>
      <w:bookmarkStart w:id="94" w:name="_Toc418996340"/>
      <w:bookmarkStart w:id="95" w:name="_Toc418996709"/>
      <w:bookmarkStart w:id="96" w:name="_Toc418997096"/>
      <w:bookmarkStart w:id="97" w:name="_Toc418998506"/>
      <w:bookmarkStart w:id="98" w:name="_Toc418998862"/>
      <w:bookmarkStart w:id="99" w:name="_Toc419000107"/>
      <w:r>
        <w:rPr>
          <w:rFonts w:ascii="Arial" w:hAnsi="Arial" w:cs="Arial"/>
          <w:b/>
          <w:bCs/>
          <w:sz w:val="18"/>
          <w:szCs w:val="18"/>
        </w:rPr>
        <w:t>9. Podstawa płatności</w:t>
      </w:r>
      <w:bookmarkEnd w:id="92"/>
      <w:bookmarkEnd w:id="93"/>
      <w:bookmarkEnd w:id="94"/>
      <w:bookmarkEnd w:id="95"/>
      <w:bookmarkEnd w:id="96"/>
      <w:bookmarkEnd w:id="97"/>
      <w:bookmarkEnd w:id="98"/>
      <w:bookmarkEnd w:id="99"/>
    </w:p>
    <w:p w:rsidR="000D7726" w:rsidRDefault="000D7726">
      <w:pPr>
        <w:pStyle w:val="Nagwek2"/>
        <w:jc w:val="left"/>
        <w:rPr>
          <w:rFonts w:ascii="Arial" w:hAnsi="Arial" w:cs="Arial"/>
          <w:sz w:val="18"/>
          <w:szCs w:val="18"/>
        </w:rPr>
      </w:pPr>
      <w:bookmarkStart w:id="100" w:name="_Toc407161234"/>
    </w:p>
    <w:p w:rsidR="000D7726" w:rsidRDefault="00456F5F">
      <w:pPr>
        <w:pStyle w:val="Nagwek2"/>
        <w:jc w:val="left"/>
        <w:rPr>
          <w:rFonts w:ascii="Arial" w:hAnsi="Arial" w:cs="Arial"/>
          <w:sz w:val="18"/>
          <w:szCs w:val="18"/>
        </w:rPr>
      </w:pPr>
      <w:r>
        <w:rPr>
          <w:rFonts w:ascii="Arial" w:hAnsi="Arial" w:cs="Arial"/>
          <w:sz w:val="18"/>
          <w:szCs w:val="18"/>
        </w:rPr>
        <w:t>9.1. Ogólne ustalenia dotyczące podstawy płatności</w:t>
      </w:r>
      <w:bookmarkEnd w:id="100"/>
    </w:p>
    <w:p w:rsidR="000D7726" w:rsidRDefault="00456F5F">
      <w:pPr>
        <w:pStyle w:val="StylIwony"/>
        <w:spacing w:before="0" w:after="0"/>
        <w:ind w:firstLine="567"/>
        <w:jc w:val="left"/>
        <w:rPr>
          <w:rFonts w:ascii="Arial" w:hAnsi="Arial" w:cs="Arial"/>
          <w:sz w:val="18"/>
          <w:szCs w:val="18"/>
        </w:rPr>
      </w:pPr>
      <w:r>
        <w:rPr>
          <w:rFonts w:ascii="Arial" w:hAnsi="Arial" w:cs="Arial"/>
          <w:sz w:val="18"/>
          <w:szCs w:val="18"/>
        </w:rPr>
        <w:t>Ogólne ustalenia dotyczące podstawy płatności podano w STWiORB D-M 00.00.00  pkt 9.</w:t>
      </w:r>
    </w:p>
    <w:p w:rsidR="000D7726" w:rsidRDefault="000D7726">
      <w:pPr>
        <w:pStyle w:val="StylIwony"/>
        <w:spacing w:before="0" w:after="0"/>
        <w:jc w:val="left"/>
        <w:rPr>
          <w:rFonts w:ascii="Arial" w:hAnsi="Arial" w:cs="Arial"/>
          <w:sz w:val="18"/>
          <w:szCs w:val="18"/>
        </w:rPr>
      </w:pPr>
    </w:p>
    <w:p w:rsidR="000D7726" w:rsidRDefault="00456F5F">
      <w:pPr>
        <w:pStyle w:val="Nagwek2"/>
        <w:jc w:val="left"/>
        <w:rPr>
          <w:rFonts w:ascii="Arial" w:hAnsi="Arial" w:cs="Arial"/>
          <w:sz w:val="18"/>
          <w:szCs w:val="18"/>
        </w:rPr>
      </w:pPr>
      <w:bookmarkStart w:id="101" w:name="_Toc407161235"/>
      <w:r>
        <w:rPr>
          <w:rFonts w:ascii="Arial" w:hAnsi="Arial" w:cs="Arial"/>
          <w:sz w:val="18"/>
          <w:szCs w:val="18"/>
        </w:rPr>
        <w:t>9.2. Cena jednostki obmiarowej</w:t>
      </w:r>
      <w:bookmarkEnd w:id="101"/>
    </w:p>
    <w:p w:rsidR="000D7726" w:rsidRDefault="00456F5F">
      <w:pPr>
        <w:ind w:firstLine="567"/>
        <w:jc w:val="both"/>
        <w:rPr>
          <w:rFonts w:ascii="Arial" w:hAnsi="Arial" w:cs="Arial"/>
          <w:sz w:val="18"/>
          <w:szCs w:val="18"/>
        </w:rPr>
      </w:pPr>
      <w:r>
        <w:rPr>
          <w:rFonts w:ascii="Arial" w:hAnsi="Arial" w:cs="Arial"/>
          <w:sz w:val="18"/>
          <w:szCs w:val="18"/>
        </w:rPr>
        <w:t>Cena wykonania 1 m</w:t>
      </w:r>
      <w:r>
        <w:rPr>
          <w:rFonts w:ascii="Arial" w:hAnsi="Arial" w:cs="Arial"/>
          <w:sz w:val="18"/>
          <w:szCs w:val="18"/>
          <w:vertAlign w:val="superscript"/>
        </w:rPr>
        <w:t>3</w:t>
      </w:r>
      <w:r>
        <w:rPr>
          <w:rFonts w:ascii="Arial" w:hAnsi="Arial" w:cs="Arial"/>
          <w:sz w:val="18"/>
          <w:szCs w:val="18"/>
        </w:rPr>
        <w:t xml:space="preserve"> wykopów w gruntach nieskalistych obejmuje:</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prace pomiarowe i  przygotowawcze,</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oznakowanie robót,</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 xml:space="preserve">wykonanie wykopu z załadunkiem i transportem urobku na nasyp lub odkład, </w:t>
      </w:r>
    </w:p>
    <w:p w:rsidR="000D7726" w:rsidRDefault="00456F5F">
      <w:pPr>
        <w:numPr>
          <w:ilvl w:val="0"/>
          <w:numId w:val="37"/>
        </w:numPr>
        <w:tabs>
          <w:tab w:val="right" w:leader="dot" w:pos="-1985"/>
          <w:tab w:val="left" w:pos="284"/>
        </w:tabs>
        <w:ind w:left="284" w:hanging="284"/>
        <w:jc w:val="both"/>
        <w:rPr>
          <w:rFonts w:ascii="Arial" w:hAnsi="Arial" w:cs="Arial"/>
          <w:sz w:val="18"/>
          <w:szCs w:val="18"/>
        </w:rPr>
      </w:pPr>
      <w:r>
        <w:rPr>
          <w:rFonts w:ascii="Arial" w:hAnsi="Arial" w:cs="Arial"/>
          <w:sz w:val="18"/>
          <w:szCs w:val="18"/>
        </w:rPr>
        <w:t>koszty pozyskania, utrzymania i likwidacji składowisk,</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wykonanie i rozebranie ewentualnych umocnień,</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profilowanie dna wykopu, rowów, skarp zgodnie z Dokumentacją Projektową,</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koszt zabezpieczenia dna wykopu przed negatywnymi skutkami czynników atmosferycznych, mechanicznych,</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zagęszczenie powierzchni wykopu,</w:t>
      </w:r>
    </w:p>
    <w:p w:rsidR="000D7726" w:rsidRDefault="00456F5F">
      <w:pPr>
        <w:numPr>
          <w:ilvl w:val="0"/>
          <w:numId w:val="37"/>
        </w:numPr>
        <w:tabs>
          <w:tab w:val="right" w:leader="dot" w:pos="-1985"/>
          <w:tab w:val="left" w:pos="284"/>
        </w:tabs>
        <w:ind w:left="284" w:hanging="284"/>
        <w:jc w:val="both"/>
        <w:rPr>
          <w:rFonts w:ascii="Arial" w:hAnsi="Arial" w:cs="Arial"/>
          <w:sz w:val="18"/>
          <w:szCs w:val="18"/>
        </w:rPr>
      </w:pPr>
      <w:r>
        <w:rPr>
          <w:rFonts w:ascii="Arial" w:hAnsi="Arial" w:cs="Arial"/>
          <w:sz w:val="18"/>
          <w:szCs w:val="18"/>
        </w:rPr>
        <w:t>koszt zabezpieczenia skarp wykopów przed rozmywaniem na czas prowadzenia wszystkich robót, do czasu zastabilizowania skarp (ukorzenienia traw),</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monitoring wód gruntowych,</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odwodnienie wykopu na czas jego wykonywania wraz z niezbędnymi urządzeniami w dostosowaniu do warunków na terenie budowy,</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koszt utrzymania czystości na drogach w związku z transportem gruntu,</w:t>
      </w:r>
    </w:p>
    <w:p w:rsidR="000D7726" w:rsidRDefault="00456F5F">
      <w:pPr>
        <w:numPr>
          <w:ilvl w:val="0"/>
          <w:numId w:val="37"/>
        </w:numPr>
        <w:tabs>
          <w:tab w:val="right" w:leader="dot" w:pos="-1985"/>
          <w:tab w:val="left" w:pos="284"/>
          <w:tab w:val="right" w:leader="dot" w:pos="8505"/>
        </w:tabs>
        <w:ind w:left="284" w:hanging="284"/>
        <w:jc w:val="both"/>
        <w:rPr>
          <w:rFonts w:ascii="Arial" w:hAnsi="Arial" w:cs="Arial"/>
          <w:sz w:val="18"/>
          <w:szCs w:val="18"/>
        </w:rPr>
      </w:pPr>
      <w:r>
        <w:rPr>
          <w:rFonts w:ascii="Arial" w:hAnsi="Arial" w:cs="Arial"/>
          <w:sz w:val="18"/>
          <w:szCs w:val="18"/>
        </w:rPr>
        <w:t>koszt uporządkowania i rekultywacji terenu,</w:t>
      </w:r>
    </w:p>
    <w:p w:rsidR="000D7726" w:rsidRDefault="00456F5F">
      <w:pPr>
        <w:numPr>
          <w:ilvl w:val="0"/>
          <w:numId w:val="37"/>
        </w:numPr>
        <w:tabs>
          <w:tab w:val="right" w:leader="dot" w:pos="-1985"/>
          <w:tab w:val="left" w:pos="284"/>
          <w:tab w:val="right" w:leader="dot" w:pos="8505"/>
        </w:tabs>
        <w:spacing w:after="120"/>
        <w:ind w:left="284" w:hanging="284"/>
        <w:jc w:val="both"/>
        <w:rPr>
          <w:rFonts w:ascii="Arial" w:hAnsi="Arial" w:cs="Arial"/>
          <w:sz w:val="18"/>
          <w:szCs w:val="18"/>
        </w:rPr>
      </w:pPr>
      <w:r>
        <w:rPr>
          <w:rFonts w:ascii="Arial" w:hAnsi="Arial" w:cs="Arial"/>
          <w:sz w:val="18"/>
          <w:szCs w:val="18"/>
        </w:rPr>
        <w:t>przeprowadzenie pomiarów i badań wymaganych w STWiORB .</w:t>
      </w:r>
    </w:p>
    <w:p w:rsidR="000D7726" w:rsidRDefault="00456F5F">
      <w:pPr>
        <w:pStyle w:val="Tekstpodstawowy2"/>
        <w:rPr>
          <w:rFonts w:ascii="Arial" w:hAnsi="Arial" w:cs="Arial"/>
          <w:sz w:val="18"/>
          <w:szCs w:val="18"/>
        </w:rPr>
      </w:pPr>
      <w:r>
        <w:rPr>
          <w:rFonts w:ascii="Arial" w:hAnsi="Arial" w:cs="Arial"/>
          <w:sz w:val="18"/>
          <w:szCs w:val="18"/>
        </w:rPr>
        <w:tab/>
        <w:t>Ilości robót ziemnych wykazanych w Przedmiarze Robót zostały określone na podstawie przekrojów poprzecznych, bez uwzględnienia spulchnienia i zagęszczenia gruntu rodzimego. Wykonawca powinien uwzględnić te współczynniki w cenie jednostkowej.</w:t>
      </w:r>
    </w:p>
    <w:p w:rsidR="000D7726" w:rsidRDefault="000D7726">
      <w:pPr>
        <w:pStyle w:val="Tekstpodstawowy2"/>
        <w:rPr>
          <w:rFonts w:ascii="Arial" w:hAnsi="Arial" w:cs="Arial"/>
          <w:sz w:val="18"/>
          <w:szCs w:val="18"/>
        </w:rPr>
      </w:pPr>
    </w:p>
    <w:p w:rsidR="000D7726" w:rsidRDefault="000D7726">
      <w:pPr>
        <w:pStyle w:val="Tekstpodstawowy2"/>
        <w:rPr>
          <w:rFonts w:ascii="Arial" w:hAnsi="Arial" w:cs="Arial"/>
          <w:sz w:val="18"/>
          <w:szCs w:val="18"/>
        </w:rPr>
      </w:pPr>
    </w:p>
    <w:p w:rsidR="000D7726" w:rsidRDefault="00456F5F">
      <w:pPr>
        <w:pStyle w:val="Nagwek1"/>
        <w:jc w:val="left"/>
        <w:rPr>
          <w:rFonts w:ascii="Arial" w:hAnsi="Arial" w:cs="Arial"/>
          <w:b/>
          <w:bCs/>
          <w:sz w:val="18"/>
          <w:szCs w:val="18"/>
        </w:rPr>
      </w:pPr>
      <w:bookmarkStart w:id="102" w:name="_Toc407161236"/>
      <w:bookmarkStart w:id="103" w:name="_Toc418994934"/>
      <w:bookmarkStart w:id="104" w:name="_Toc418996341"/>
      <w:bookmarkStart w:id="105" w:name="_Toc418996710"/>
      <w:bookmarkStart w:id="106" w:name="_Toc418997097"/>
      <w:bookmarkStart w:id="107" w:name="_Toc418998507"/>
      <w:bookmarkStart w:id="108" w:name="_Toc418998863"/>
      <w:bookmarkStart w:id="109" w:name="_Toc419000108"/>
      <w:r>
        <w:rPr>
          <w:rFonts w:ascii="Arial" w:hAnsi="Arial" w:cs="Arial"/>
          <w:b/>
          <w:bCs/>
          <w:sz w:val="18"/>
          <w:szCs w:val="18"/>
        </w:rPr>
        <w:t>10. Przepisy związane</w:t>
      </w:r>
      <w:bookmarkEnd w:id="102"/>
      <w:bookmarkEnd w:id="103"/>
      <w:bookmarkEnd w:id="104"/>
      <w:bookmarkEnd w:id="105"/>
      <w:bookmarkEnd w:id="106"/>
      <w:bookmarkEnd w:id="107"/>
      <w:bookmarkEnd w:id="108"/>
      <w:bookmarkEnd w:id="109"/>
    </w:p>
    <w:p w:rsidR="000D7726" w:rsidRDefault="000D7726">
      <w:pPr>
        <w:rPr>
          <w:rFonts w:ascii="Arial" w:hAnsi="Arial" w:cs="Arial"/>
          <w:sz w:val="18"/>
          <w:szCs w:val="18"/>
        </w:rPr>
      </w:pPr>
    </w:p>
    <w:p w:rsidR="000D7726" w:rsidRDefault="00456F5F">
      <w:pPr>
        <w:pStyle w:val="Nagwek2"/>
        <w:jc w:val="left"/>
        <w:rPr>
          <w:rFonts w:ascii="Arial" w:hAnsi="Arial" w:cs="Arial"/>
          <w:sz w:val="18"/>
          <w:szCs w:val="18"/>
        </w:rPr>
      </w:pPr>
      <w:bookmarkStart w:id="110" w:name="_Toc405615063"/>
      <w:bookmarkStart w:id="111" w:name="_Toc407161211"/>
      <w:r>
        <w:rPr>
          <w:rFonts w:ascii="Arial" w:hAnsi="Arial" w:cs="Arial"/>
          <w:sz w:val="18"/>
          <w:szCs w:val="18"/>
        </w:rPr>
        <w:t>10.1. Normy</w:t>
      </w:r>
      <w:bookmarkEnd w:id="110"/>
      <w:bookmarkEnd w:id="111"/>
    </w:p>
    <w:tbl>
      <w:tblPr>
        <w:tblW w:w="0" w:type="auto"/>
        <w:tblLayout w:type="fixed"/>
        <w:tblCellMar>
          <w:left w:w="70" w:type="dxa"/>
          <w:right w:w="70" w:type="dxa"/>
        </w:tblCellMar>
        <w:tblLook w:val="0000" w:firstRow="0" w:lastRow="0" w:firstColumn="0" w:lastColumn="0" w:noHBand="0" w:noVBand="0"/>
      </w:tblPr>
      <w:tblGrid>
        <w:gridCol w:w="354"/>
        <w:gridCol w:w="1879"/>
        <w:gridCol w:w="6059"/>
      </w:tblGrid>
      <w:tr w:rsidR="000D7726">
        <w:tc>
          <w:tcPr>
            <w:tcW w:w="354" w:type="dxa"/>
          </w:tcPr>
          <w:p w:rsidR="000D7726" w:rsidRDefault="00456F5F">
            <w:pPr>
              <w:pStyle w:val="Standardowytekst"/>
              <w:jc w:val="left"/>
              <w:rPr>
                <w:rFonts w:ascii="Arial" w:hAnsi="Arial" w:cs="Arial"/>
                <w:sz w:val="18"/>
                <w:szCs w:val="18"/>
              </w:rPr>
            </w:pPr>
            <w:r>
              <w:rPr>
                <w:rFonts w:ascii="Arial" w:hAnsi="Arial" w:cs="Arial"/>
                <w:sz w:val="18"/>
                <w:szCs w:val="18"/>
              </w:rPr>
              <w:t>1.</w:t>
            </w:r>
          </w:p>
        </w:tc>
        <w:tc>
          <w:tcPr>
            <w:tcW w:w="1879" w:type="dxa"/>
          </w:tcPr>
          <w:p w:rsidR="000D7726" w:rsidRDefault="00456F5F">
            <w:pPr>
              <w:pStyle w:val="Standardowytekst"/>
              <w:jc w:val="left"/>
              <w:rPr>
                <w:rFonts w:ascii="Arial" w:hAnsi="Arial" w:cs="Arial"/>
                <w:sz w:val="18"/>
                <w:szCs w:val="18"/>
              </w:rPr>
            </w:pPr>
            <w:r>
              <w:rPr>
                <w:rFonts w:ascii="Arial" w:hAnsi="Arial" w:cs="Arial"/>
                <w:sz w:val="18"/>
                <w:szCs w:val="18"/>
              </w:rPr>
              <w:t>PN-S-02205:1998</w:t>
            </w:r>
          </w:p>
        </w:tc>
        <w:tc>
          <w:tcPr>
            <w:tcW w:w="6059" w:type="dxa"/>
          </w:tcPr>
          <w:p w:rsidR="000D7726" w:rsidRDefault="00456F5F">
            <w:pPr>
              <w:pStyle w:val="Standardowytekst"/>
              <w:jc w:val="left"/>
              <w:rPr>
                <w:rFonts w:ascii="Arial" w:hAnsi="Arial" w:cs="Arial"/>
                <w:sz w:val="18"/>
                <w:szCs w:val="18"/>
              </w:rPr>
            </w:pPr>
            <w:r>
              <w:rPr>
                <w:rFonts w:ascii="Arial" w:hAnsi="Arial" w:cs="Arial"/>
                <w:sz w:val="18"/>
                <w:szCs w:val="18"/>
              </w:rPr>
              <w:t>Drogi samochodowe. Roboty ziemne. Wymagania i badania.</w:t>
            </w:r>
          </w:p>
        </w:tc>
      </w:tr>
      <w:tr w:rsidR="000D7726">
        <w:tc>
          <w:tcPr>
            <w:tcW w:w="354" w:type="dxa"/>
          </w:tcPr>
          <w:p w:rsidR="000D7726" w:rsidRDefault="00456F5F">
            <w:pPr>
              <w:pStyle w:val="Standardowytekst"/>
              <w:jc w:val="left"/>
              <w:rPr>
                <w:rFonts w:ascii="Arial" w:hAnsi="Arial" w:cs="Arial"/>
                <w:sz w:val="18"/>
                <w:szCs w:val="18"/>
              </w:rPr>
            </w:pPr>
            <w:r>
              <w:rPr>
                <w:rFonts w:ascii="Arial" w:hAnsi="Arial" w:cs="Arial"/>
                <w:sz w:val="18"/>
                <w:szCs w:val="18"/>
              </w:rPr>
              <w:t>2.</w:t>
            </w:r>
          </w:p>
        </w:tc>
        <w:tc>
          <w:tcPr>
            <w:tcW w:w="1879" w:type="dxa"/>
          </w:tcPr>
          <w:p w:rsidR="000D7726" w:rsidRDefault="00456F5F">
            <w:pPr>
              <w:pStyle w:val="Standardowytekst"/>
              <w:jc w:val="left"/>
              <w:rPr>
                <w:rFonts w:ascii="Arial" w:hAnsi="Arial" w:cs="Arial"/>
                <w:sz w:val="18"/>
                <w:szCs w:val="18"/>
              </w:rPr>
            </w:pPr>
            <w:r>
              <w:rPr>
                <w:rFonts w:ascii="Arial" w:hAnsi="Arial" w:cs="Arial"/>
                <w:sz w:val="18"/>
                <w:szCs w:val="18"/>
              </w:rPr>
              <w:t>BN-77/8931-12</w:t>
            </w:r>
          </w:p>
        </w:tc>
        <w:tc>
          <w:tcPr>
            <w:tcW w:w="6059" w:type="dxa"/>
          </w:tcPr>
          <w:p w:rsidR="000D7726" w:rsidRDefault="00456F5F">
            <w:pPr>
              <w:pStyle w:val="Standardowytekst"/>
              <w:jc w:val="left"/>
              <w:rPr>
                <w:rFonts w:ascii="Arial" w:hAnsi="Arial" w:cs="Arial"/>
                <w:sz w:val="18"/>
                <w:szCs w:val="18"/>
              </w:rPr>
            </w:pPr>
            <w:r>
              <w:rPr>
                <w:rFonts w:ascii="Arial" w:hAnsi="Arial" w:cs="Arial"/>
                <w:sz w:val="18"/>
                <w:szCs w:val="18"/>
              </w:rPr>
              <w:t>Oznaczenie wskaźnika zagęszczenia gruntu.</w:t>
            </w:r>
          </w:p>
        </w:tc>
      </w:tr>
      <w:tr w:rsidR="000D7726">
        <w:tc>
          <w:tcPr>
            <w:tcW w:w="354" w:type="dxa"/>
          </w:tcPr>
          <w:p w:rsidR="000D7726" w:rsidRDefault="00456F5F">
            <w:pPr>
              <w:pStyle w:val="Standardowytekst"/>
              <w:jc w:val="left"/>
              <w:rPr>
                <w:rFonts w:ascii="Arial" w:hAnsi="Arial" w:cs="Arial"/>
                <w:sz w:val="18"/>
                <w:szCs w:val="18"/>
              </w:rPr>
            </w:pPr>
            <w:r>
              <w:rPr>
                <w:rFonts w:ascii="Arial" w:hAnsi="Arial" w:cs="Arial"/>
                <w:sz w:val="18"/>
                <w:szCs w:val="18"/>
              </w:rPr>
              <w:t>3.</w:t>
            </w:r>
          </w:p>
          <w:p w:rsidR="000D7726" w:rsidRDefault="00456F5F">
            <w:pPr>
              <w:pStyle w:val="Standardowytekst"/>
              <w:jc w:val="left"/>
              <w:rPr>
                <w:rFonts w:ascii="Arial" w:hAnsi="Arial" w:cs="Arial"/>
                <w:sz w:val="18"/>
                <w:szCs w:val="18"/>
              </w:rPr>
            </w:pPr>
            <w:r>
              <w:rPr>
                <w:rFonts w:ascii="Arial" w:hAnsi="Arial" w:cs="Arial"/>
                <w:sz w:val="18"/>
                <w:szCs w:val="18"/>
              </w:rPr>
              <w:t>4.</w:t>
            </w:r>
          </w:p>
          <w:p w:rsidR="000D7726" w:rsidRDefault="00456F5F">
            <w:pPr>
              <w:pStyle w:val="Standardowytekst"/>
              <w:jc w:val="left"/>
              <w:rPr>
                <w:rFonts w:ascii="Arial" w:hAnsi="Arial" w:cs="Arial"/>
                <w:sz w:val="18"/>
                <w:szCs w:val="18"/>
              </w:rPr>
            </w:pPr>
            <w:r>
              <w:rPr>
                <w:rFonts w:ascii="Arial" w:hAnsi="Arial" w:cs="Arial"/>
                <w:sz w:val="18"/>
                <w:szCs w:val="18"/>
              </w:rPr>
              <w:t>5.</w:t>
            </w:r>
          </w:p>
          <w:p w:rsidR="000D7726" w:rsidRDefault="00456F5F">
            <w:pPr>
              <w:pStyle w:val="Standardowytekst"/>
              <w:jc w:val="left"/>
              <w:rPr>
                <w:rFonts w:ascii="Arial" w:hAnsi="Arial" w:cs="Arial"/>
                <w:sz w:val="18"/>
                <w:szCs w:val="18"/>
              </w:rPr>
            </w:pPr>
            <w:r>
              <w:rPr>
                <w:rFonts w:ascii="Arial" w:hAnsi="Arial" w:cs="Arial"/>
                <w:sz w:val="18"/>
                <w:szCs w:val="18"/>
              </w:rPr>
              <w:t>6.</w:t>
            </w:r>
          </w:p>
        </w:tc>
        <w:tc>
          <w:tcPr>
            <w:tcW w:w="1879" w:type="dxa"/>
          </w:tcPr>
          <w:p w:rsidR="000D7726" w:rsidRDefault="00456F5F">
            <w:pPr>
              <w:pStyle w:val="Standardowytekst"/>
              <w:jc w:val="left"/>
              <w:rPr>
                <w:rFonts w:ascii="Arial" w:hAnsi="Arial" w:cs="Arial"/>
                <w:sz w:val="18"/>
                <w:szCs w:val="18"/>
              </w:rPr>
            </w:pPr>
            <w:r>
              <w:rPr>
                <w:rFonts w:ascii="Arial" w:hAnsi="Arial" w:cs="Arial"/>
                <w:sz w:val="18"/>
                <w:szCs w:val="18"/>
              </w:rPr>
              <w:t>PN-B-04481:1988</w:t>
            </w:r>
          </w:p>
          <w:p w:rsidR="000D7726" w:rsidRDefault="00456F5F">
            <w:pPr>
              <w:pStyle w:val="Standardowytekst"/>
              <w:jc w:val="left"/>
              <w:rPr>
                <w:rFonts w:ascii="Arial" w:hAnsi="Arial" w:cs="Arial"/>
                <w:sz w:val="18"/>
                <w:szCs w:val="18"/>
              </w:rPr>
            </w:pPr>
            <w:r>
              <w:rPr>
                <w:rFonts w:ascii="Arial" w:hAnsi="Arial" w:cs="Arial"/>
                <w:sz w:val="18"/>
                <w:szCs w:val="18"/>
              </w:rPr>
              <w:t>PN-B-04452:2002</w:t>
            </w:r>
          </w:p>
          <w:p w:rsidR="000D7726" w:rsidRDefault="00456F5F">
            <w:pPr>
              <w:pStyle w:val="Standardowytekst"/>
              <w:jc w:val="left"/>
              <w:rPr>
                <w:rFonts w:ascii="Arial" w:hAnsi="Arial" w:cs="Arial"/>
                <w:sz w:val="18"/>
                <w:szCs w:val="18"/>
              </w:rPr>
            </w:pPr>
            <w:r>
              <w:rPr>
                <w:rFonts w:ascii="Arial" w:hAnsi="Arial" w:cs="Arial"/>
                <w:sz w:val="18"/>
                <w:szCs w:val="18"/>
              </w:rPr>
              <w:t>PN-EN 1997-1</w:t>
            </w:r>
          </w:p>
          <w:p w:rsidR="000D7726" w:rsidRDefault="00456F5F">
            <w:pPr>
              <w:pStyle w:val="Standardowytekst"/>
              <w:jc w:val="left"/>
              <w:rPr>
                <w:rFonts w:ascii="Arial" w:hAnsi="Arial" w:cs="Arial"/>
                <w:sz w:val="18"/>
                <w:szCs w:val="18"/>
              </w:rPr>
            </w:pPr>
            <w:r>
              <w:rPr>
                <w:rFonts w:ascii="Arial" w:hAnsi="Arial" w:cs="Arial"/>
                <w:sz w:val="18"/>
                <w:szCs w:val="18"/>
              </w:rPr>
              <w:t>PN-EN 1997-2</w:t>
            </w:r>
          </w:p>
        </w:tc>
        <w:tc>
          <w:tcPr>
            <w:tcW w:w="6059" w:type="dxa"/>
          </w:tcPr>
          <w:p w:rsidR="000D7726" w:rsidRDefault="00456F5F">
            <w:pPr>
              <w:pStyle w:val="Standardowytekst"/>
              <w:jc w:val="left"/>
              <w:rPr>
                <w:rFonts w:ascii="Arial" w:hAnsi="Arial" w:cs="Arial"/>
                <w:sz w:val="18"/>
                <w:szCs w:val="18"/>
              </w:rPr>
            </w:pPr>
            <w:r>
              <w:rPr>
                <w:rFonts w:ascii="Arial" w:hAnsi="Arial" w:cs="Arial"/>
                <w:sz w:val="18"/>
                <w:szCs w:val="18"/>
              </w:rPr>
              <w:t>Grunty budowlane badania próbek gruntu.</w:t>
            </w:r>
          </w:p>
          <w:p w:rsidR="000D7726" w:rsidRDefault="00456F5F">
            <w:pPr>
              <w:pStyle w:val="Standardowytekst"/>
              <w:jc w:val="left"/>
              <w:rPr>
                <w:rFonts w:ascii="Arial" w:hAnsi="Arial" w:cs="Arial"/>
                <w:sz w:val="18"/>
                <w:szCs w:val="18"/>
              </w:rPr>
            </w:pPr>
            <w:r>
              <w:rPr>
                <w:rFonts w:ascii="Arial" w:hAnsi="Arial" w:cs="Arial"/>
                <w:sz w:val="18"/>
                <w:szCs w:val="18"/>
              </w:rPr>
              <w:t>Geotechnika. Badania polowe.</w:t>
            </w:r>
          </w:p>
          <w:p w:rsidR="000D7726" w:rsidRDefault="00456F5F">
            <w:pPr>
              <w:pStyle w:val="Standardowytekst"/>
              <w:jc w:val="left"/>
              <w:rPr>
                <w:rFonts w:ascii="Arial" w:hAnsi="Arial" w:cs="Arial"/>
                <w:sz w:val="18"/>
                <w:szCs w:val="18"/>
              </w:rPr>
            </w:pPr>
            <w:r>
              <w:rPr>
                <w:rFonts w:ascii="Arial" w:hAnsi="Arial" w:cs="Arial"/>
                <w:sz w:val="18"/>
                <w:szCs w:val="18"/>
              </w:rPr>
              <w:t>Eurokod 7 Projektowanie geotechniczne Część 1: Zasady ogólne.</w:t>
            </w:r>
          </w:p>
          <w:p w:rsidR="000D7726" w:rsidRDefault="00456F5F">
            <w:pPr>
              <w:pStyle w:val="Standardowytekst"/>
              <w:jc w:val="left"/>
              <w:rPr>
                <w:rFonts w:ascii="Arial" w:hAnsi="Arial" w:cs="Arial"/>
                <w:sz w:val="18"/>
                <w:szCs w:val="18"/>
              </w:rPr>
            </w:pPr>
            <w:r>
              <w:rPr>
                <w:rFonts w:ascii="Arial" w:hAnsi="Arial" w:cs="Arial"/>
                <w:sz w:val="18"/>
                <w:szCs w:val="18"/>
              </w:rPr>
              <w:t>Eurokod 7 Projektowanie geotechniczne Część 2: Rozpoznanie i badanie podłoża gruntowego.</w:t>
            </w:r>
          </w:p>
        </w:tc>
      </w:tr>
    </w:tbl>
    <w:p w:rsidR="000D7726" w:rsidRDefault="00456F5F">
      <w:pPr>
        <w:pStyle w:val="Akapitzlist"/>
        <w:numPr>
          <w:ilvl w:val="0"/>
          <w:numId w:val="36"/>
        </w:numPr>
        <w:tabs>
          <w:tab w:val="left" w:pos="426"/>
        </w:tabs>
        <w:spacing w:line="0" w:lineRule="atLeast"/>
        <w:ind w:left="426" w:hanging="426"/>
        <w:jc w:val="both"/>
        <w:rPr>
          <w:rFonts w:ascii="Arial" w:hAnsi="Arial"/>
          <w:sz w:val="18"/>
          <w:szCs w:val="18"/>
        </w:rPr>
      </w:pPr>
      <w:bookmarkStart w:id="112" w:name="_Toc405615064"/>
      <w:bookmarkStart w:id="113" w:name="_Toc407161212"/>
      <w:r>
        <w:rPr>
          <w:rFonts w:ascii="Arial" w:hAnsi="Arial"/>
          <w:sz w:val="18"/>
          <w:szCs w:val="18"/>
        </w:rPr>
        <w:t>PKN-CEN ISO/TS 17892-1:2009  Badania geotechniczne - Badania laboratoryjne gruntów – Część 1: Oznaczanie wilgotności.</w:t>
      </w:r>
    </w:p>
    <w:p w:rsidR="000D7726" w:rsidRDefault="00456F5F">
      <w:pPr>
        <w:pStyle w:val="Akapitzlist"/>
        <w:numPr>
          <w:ilvl w:val="0"/>
          <w:numId w:val="36"/>
        </w:numPr>
        <w:tabs>
          <w:tab w:val="left" w:pos="426"/>
          <w:tab w:val="left" w:pos="2223"/>
        </w:tabs>
        <w:spacing w:line="0" w:lineRule="atLeast"/>
        <w:ind w:left="426" w:hanging="426"/>
        <w:jc w:val="both"/>
        <w:rPr>
          <w:rFonts w:ascii="Arial" w:hAnsi="Arial"/>
          <w:sz w:val="18"/>
          <w:szCs w:val="18"/>
        </w:rPr>
      </w:pPr>
      <w:r>
        <w:rPr>
          <w:rFonts w:ascii="Arial" w:hAnsi="Arial"/>
          <w:sz w:val="18"/>
          <w:szCs w:val="18"/>
        </w:rPr>
        <w:t>PKN-CEN ISO/TS 17892-4:2009 Badania laboratoryjne gruntów - Część 4: Oznaczanie składu granulo-metrycznego.</w:t>
      </w:r>
    </w:p>
    <w:p w:rsidR="000D7726" w:rsidRDefault="00456F5F">
      <w:pPr>
        <w:pStyle w:val="Akapitzlist"/>
        <w:numPr>
          <w:ilvl w:val="0"/>
          <w:numId w:val="36"/>
        </w:numPr>
        <w:tabs>
          <w:tab w:val="left" w:pos="426"/>
          <w:tab w:val="left" w:pos="2223"/>
        </w:tabs>
        <w:spacing w:line="0" w:lineRule="atLeast"/>
        <w:ind w:left="426" w:hanging="426"/>
        <w:jc w:val="both"/>
        <w:rPr>
          <w:rFonts w:ascii="Arial" w:hAnsi="Arial"/>
          <w:sz w:val="18"/>
          <w:szCs w:val="18"/>
        </w:rPr>
      </w:pPr>
      <w:r>
        <w:rPr>
          <w:rFonts w:ascii="Arial" w:hAnsi="Arial"/>
          <w:sz w:val="18"/>
          <w:szCs w:val="18"/>
        </w:rPr>
        <w:t>PKN-CEN ISO/TS 17892-12 Badania geotechniczne. Badania laboratoryjne gruntów – Część 12: Oznaczenie granic Atterberga.</w:t>
      </w:r>
    </w:p>
    <w:p w:rsidR="000D7726" w:rsidRDefault="000D7726">
      <w:pPr>
        <w:rPr>
          <w:rFonts w:ascii="Arial" w:hAnsi="Arial" w:cs="Arial"/>
          <w:sz w:val="18"/>
          <w:szCs w:val="18"/>
        </w:rPr>
      </w:pPr>
    </w:p>
    <w:p w:rsidR="000D7726" w:rsidRDefault="00456F5F">
      <w:pPr>
        <w:pStyle w:val="Nagwek2"/>
        <w:jc w:val="left"/>
        <w:rPr>
          <w:rFonts w:ascii="Arial" w:hAnsi="Arial" w:cs="Arial"/>
          <w:sz w:val="18"/>
          <w:szCs w:val="18"/>
        </w:rPr>
      </w:pPr>
      <w:r>
        <w:rPr>
          <w:rFonts w:ascii="Arial" w:hAnsi="Arial" w:cs="Arial"/>
          <w:sz w:val="18"/>
          <w:szCs w:val="18"/>
        </w:rPr>
        <w:t>10.2. Inne dokumenty</w:t>
      </w:r>
      <w:bookmarkEnd w:id="112"/>
      <w:bookmarkEnd w:id="113"/>
    </w:p>
    <w:p w:rsidR="000D7726" w:rsidRDefault="00456F5F">
      <w:pPr>
        <w:pStyle w:val="Standardowytekst"/>
        <w:rPr>
          <w:rFonts w:ascii="Arial" w:hAnsi="Arial" w:cs="Arial"/>
          <w:sz w:val="18"/>
          <w:szCs w:val="18"/>
        </w:rPr>
      </w:pPr>
      <w:r>
        <w:rPr>
          <w:rFonts w:ascii="Arial" w:hAnsi="Arial" w:cs="Arial"/>
          <w:sz w:val="18"/>
          <w:szCs w:val="18"/>
        </w:rPr>
        <w:t xml:space="preserve">1. Katalog Typowych Konstrukcji Nawierzchni Podatnych i Półsztywnych – Załącznik do zarządzenia Nr 31 </w:t>
      </w:r>
      <w:r>
        <w:rPr>
          <w:rFonts w:ascii="Arial" w:hAnsi="Arial" w:cs="Arial"/>
          <w:sz w:val="18"/>
          <w:szCs w:val="18"/>
        </w:rPr>
        <w:br/>
        <w:t xml:space="preserve">     GDDKiA z dnia 16.06.2014 r.</w:t>
      </w:r>
    </w:p>
    <w:p w:rsidR="000D7726" w:rsidRDefault="00456F5F">
      <w:pPr>
        <w:pStyle w:val="Standardowytekst"/>
        <w:tabs>
          <w:tab w:val="left" w:pos="426"/>
        </w:tabs>
        <w:ind w:left="142" w:hanging="142"/>
        <w:rPr>
          <w:rFonts w:ascii="Arial" w:hAnsi="Arial" w:cs="Arial"/>
          <w:sz w:val="18"/>
          <w:szCs w:val="18"/>
        </w:rPr>
      </w:pPr>
      <w:r>
        <w:rPr>
          <w:rFonts w:ascii="Arial" w:hAnsi="Arial" w:cs="Arial"/>
          <w:sz w:val="18"/>
          <w:szCs w:val="18"/>
        </w:rPr>
        <w:t xml:space="preserve">2. Rozporządzenie Ministra Transportu i Gospodarki Morskiej z dnia 2 marca 1999 r. w sprawie warunków </w:t>
      </w:r>
      <w:r>
        <w:rPr>
          <w:rFonts w:ascii="Arial" w:hAnsi="Arial" w:cs="Arial"/>
          <w:sz w:val="18"/>
          <w:szCs w:val="18"/>
        </w:rPr>
        <w:br/>
        <w:t xml:space="preserve">  technicznych, jakim powinny odpowiadać drogi publiczne i ich usytuowanie (Dz. U. z 2016 r., Nr 0, poz. 124).</w:t>
      </w:r>
    </w:p>
    <w:p w:rsidR="000D7726" w:rsidRDefault="000D7726">
      <w:pPr>
        <w:rPr>
          <w:rFonts w:ascii="Arial" w:hAnsi="Arial" w:cs="Arial"/>
          <w:sz w:val="18"/>
          <w:szCs w:val="18"/>
        </w:rPr>
      </w:pPr>
    </w:p>
    <w:sectPr w:rsidR="000D7726">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851" w:footer="771" w:gutter="0"/>
      <w:pgNumType w:start="1"/>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4B6" w:rsidRDefault="005624B6">
      <w:r>
        <w:separator/>
      </w:r>
    </w:p>
  </w:endnote>
  <w:endnote w:type="continuationSeparator" w:id="0">
    <w:p w:rsidR="005624B6" w:rsidRDefault="00562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TE16E60F8t00">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6998702"/>
      <w:docPartObj>
        <w:docPartGallery w:val="Page Numbers (Bottom of Page)"/>
        <w:docPartUnique/>
      </w:docPartObj>
    </w:sdtPr>
    <w:sdtEndPr/>
    <w:sdtContent>
      <w:p w:rsidR="000D7726" w:rsidRDefault="00456F5F">
        <w:pPr>
          <w:pStyle w:val="Stopka"/>
          <w:jc w:val="right"/>
        </w:pPr>
        <w:r>
          <w:fldChar w:fldCharType="begin"/>
        </w:r>
        <w:r>
          <w:instrText>PAGE   \* MERGEFORMAT</w:instrText>
        </w:r>
        <w:r>
          <w:fldChar w:fldCharType="separate"/>
        </w:r>
        <w:r>
          <w:rPr>
            <w:noProof/>
          </w:rPr>
          <w:t>2</w:t>
        </w:r>
        <w:r>
          <w:fldChar w:fldCharType="end"/>
        </w:r>
      </w:p>
    </w:sdtContent>
  </w:sdt>
  <w:p w:rsidR="000D7726" w:rsidRDefault="000D7726">
    <w:pPr>
      <w:pStyle w:val="Stopka"/>
      <w:tabs>
        <w:tab w:val="left" w:pos="4785"/>
      </w:tabs>
      <w:ind w:right="360"/>
      <w:rPr>
        <w:rFonts w:ascii="Verdana" w:hAnsi="Verdan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7452374"/>
      <w:docPartObj>
        <w:docPartGallery w:val="Page Numbers (Bottom of Page)"/>
        <w:docPartUnique/>
      </w:docPartObj>
    </w:sdtPr>
    <w:sdtEndPr>
      <w:rPr>
        <w:rFonts w:ascii="Arial" w:hAnsi="Arial" w:cs="Arial"/>
        <w:sz w:val="18"/>
        <w:szCs w:val="18"/>
      </w:rPr>
    </w:sdtEndPr>
    <w:sdtContent>
      <w:p w:rsidR="000D7726" w:rsidRDefault="00456F5F">
        <w:pPr>
          <w:pStyle w:val="Stopka"/>
          <w:pBdr>
            <w:top w:val="single" w:sz="4" w:space="1" w:color="auto"/>
          </w:pBdr>
          <w:jc w:val="right"/>
          <w:rPr>
            <w:rFonts w:ascii="Arial" w:hAnsi="Arial" w:cs="Arial"/>
            <w:sz w:val="18"/>
            <w:szCs w:val="18"/>
          </w:rPr>
        </w:pPr>
        <w:r>
          <w:rPr>
            <w:rFonts w:ascii="Arial" w:hAnsi="Arial" w:cs="Arial"/>
            <w:sz w:val="18"/>
            <w:szCs w:val="18"/>
          </w:rPr>
          <w:t xml:space="preserve">VII - </w:t>
        </w:r>
        <w:r>
          <w:rPr>
            <w:rFonts w:ascii="Arial" w:hAnsi="Arial" w:cs="Arial"/>
            <w:sz w:val="18"/>
            <w:szCs w:val="18"/>
          </w:rPr>
          <w:fldChar w:fldCharType="begin"/>
        </w:r>
        <w:r>
          <w:rPr>
            <w:rFonts w:ascii="Arial" w:hAnsi="Arial" w:cs="Arial"/>
            <w:sz w:val="18"/>
            <w:szCs w:val="18"/>
          </w:rPr>
          <w:instrText>PAGE   \* MERGEFORMAT</w:instrText>
        </w:r>
        <w:r>
          <w:rPr>
            <w:rFonts w:ascii="Arial" w:hAnsi="Arial" w:cs="Arial"/>
            <w:sz w:val="18"/>
            <w:szCs w:val="18"/>
          </w:rPr>
          <w:fldChar w:fldCharType="separate"/>
        </w:r>
        <w:r w:rsidR="00B24893">
          <w:rPr>
            <w:rFonts w:ascii="Arial" w:hAnsi="Arial" w:cs="Arial"/>
            <w:noProof/>
            <w:sz w:val="18"/>
            <w:szCs w:val="18"/>
          </w:rPr>
          <w:t>1</w:t>
        </w:r>
        <w:r>
          <w:rPr>
            <w:rFonts w:ascii="Arial" w:hAnsi="Arial" w:cs="Arial"/>
            <w:sz w:val="18"/>
            <w:szCs w:val="18"/>
          </w:rPr>
          <w:fldChar w:fldCharType="end"/>
        </w:r>
      </w:p>
    </w:sdtContent>
  </w:sdt>
  <w:p w:rsidR="000D7726" w:rsidRDefault="000D7726">
    <w:pPr>
      <w:pStyle w:val="Stopka"/>
      <w:ind w:right="360" w:firstLine="360"/>
      <w:jc w:val="right"/>
      <w:rPr>
        <w:rFonts w:ascii="Verdana" w:hAnsi="Verdan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726" w:rsidRDefault="00456F5F">
    <w:pPr>
      <w:pStyle w:val="Stopka"/>
      <w:rPr>
        <w:i/>
        <w:iCs/>
        <w:sz w:val="16"/>
      </w:rPr>
    </w:pPr>
    <w:r>
      <w:rPr>
        <w:i/>
        <w:iCs/>
        <w:noProof/>
      </w:rPr>
      <mc:AlternateContent>
        <mc:Choice Requires="wps">
          <w:drawing>
            <wp:anchor distT="0" distB="0" distL="114300" distR="114300" simplePos="0" relativeHeight="251659264" behindDoc="0" locked="0" layoutInCell="1" allowOverlap="1">
              <wp:simplePos x="0" y="0"/>
              <wp:positionH relativeFrom="column">
                <wp:posOffset>-97155</wp:posOffset>
              </wp:positionH>
              <wp:positionV relativeFrom="paragraph">
                <wp:posOffset>-59055</wp:posOffset>
              </wp:positionV>
              <wp:extent cx="6286500" cy="0"/>
              <wp:effectExtent l="0" t="0" r="0" b="0"/>
              <wp:wrapNone/>
              <wp:docPr id="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w15="http://schemas.microsoft.com/office/word/2012/wordml">
          <w:pict>
            <v:line id="Line 4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4.65pt" to="487.3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FkEwIAACk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"/>
          </w:pict>
        </mc:Fallback>
      </mc:AlternateContent>
    </w:r>
    <w:r>
      <w:rPr>
        <w:i/>
        <w:iCs/>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4B6" w:rsidRDefault="005624B6">
      <w:r>
        <w:separator/>
      </w:r>
    </w:p>
  </w:footnote>
  <w:footnote w:type="continuationSeparator" w:id="0">
    <w:p w:rsidR="005624B6" w:rsidRDefault="005624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726" w:rsidRDefault="00456F5F">
    <w:pPr>
      <w:pStyle w:val="Nagwek"/>
      <w:pBdr>
        <w:bottom w:val="single" w:sz="4" w:space="1" w:color="auto"/>
      </w:pBdr>
      <w:tabs>
        <w:tab w:val="clear" w:pos="9072"/>
        <w:tab w:val="right" w:pos="9498"/>
      </w:tabs>
      <w:jc w:val="center"/>
      <w:rPr>
        <w:rFonts w:ascii="Verdana" w:hAnsi="Verdana"/>
        <w:bCs/>
        <w:iCs/>
        <w:sz w:val="16"/>
        <w:szCs w:val="16"/>
      </w:rPr>
    </w:pPr>
    <w:r>
      <w:rPr>
        <w:rFonts w:ascii="Verdana" w:hAnsi="Verdana"/>
        <w:bCs/>
        <w:sz w:val="16"/>
        <w:szCs w:val="16"/>
      </w:rPr>
      <w:t>D-02.01.01 Wykonanie wykopów</w:t>
    </w:r>
  </w:p>
  <w:p w:rsidR="000D7726" w:rsidRDefault="000D7726">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726" w:rsidRDefault="00456F5F">
    <w:pPr>
      <w:pStyle w:val="Nagwek"/>
      <w:pBdr>
        <w:bottom w:val="single" w:sz="4" w:space="1" w:color="auto"/>
      </w:pBdr>
      <w:tabs>
        <w:tab w:val="clear" w:pos="9072"/>
        <w:tab w:val="right" w:pos="9639"/>
      </w:tabs>
      <w:jc w:val="right"/>
      <w:rPr>
        <w:rFonts w:ascii="Arial" w:hAnsi="Arial" w:cs="Arial"/>
        <w:bCs/>
        <w:iCs/>
        <w:sz w:val="14"/>
        <w:szCs w:val="14"/>
      </w:rPr>
    </w:pPr>
    <w:r>
      <w:rPr>
        <w:rFonts w:ascii="Arial" w:hAnsi="Arial" w:cs="Arial"/>
        <w:bCs/>
        <w:sz w:val="14"/>
        <w:szCs w:val="14"/>
      </w:rPr>
      <w:t>D-02.01.01 Wykonanie wykopów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726" w:rsidRDefault="000D7726">
    <w:pPr>
      <w:pStyle w:val="Nagwek"/>
      <w:jc w:val="center"/>
      <w:rPr>
        <w:b/>
        <w:bCs/>
        <w:i/>
        <w:iCs/>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2A24DDA"/>
    <w:lvl w:ilvl="0">
      <w:numFmt w:val="decimal"/>
      <w:lvlText w:val="*"/>
      <w:lvlJc w:val="left"/>
    </w:lvl>
  </w:abstractNum>
  <w:abstractNum w:abstractNumId="1">
    <w:nsid w:val="00000009"/>
    <w:multiLevelType w:val="hybridMultilevel"/>
    <w:tmpl w:val="12200854"/>
    <w:lvl w:ilvl="0" w:tplc="FFFFFFFF">
      <w:start w:val="6"/>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3AA3266"/>
    <w:multiLevelType w:val="hybridMultilevel"/>
    <w:tmpl w:val="85DCD3F2"/>
    <w:lvl w:ilvl="0" w:tplc="93C4407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B1C6315"/>
    <w:multiLevelType w:val="singleLevel"/>
    <w:tmpl w:val="0AACB8C0"/>
    <w:lvl w:ilvl="0">
      <w:numFmt w:val="bullet"/>
      <w:lvlText w:val="-"/>
      <w:lvlJc w:val="left"/>
      <w:pPr>
        <w:tabs>
          <w:tab w:val="num" w:pos="360"/>
        </w:tabs>
        <w:ind w:left="360" w:hanging="360"/>
      </w:pPr>
      <w:rPr>
        <w:rFonts w:hint="default"/>
      </w:rPr>
    </w:lvl>
  </w:abstractNum>
  <w:abstractNum w:abstractNumId="4">
    <w:nsid w:val="0C036F14"/>
    <w:multiLevelType w:val="singleLevel"/>
    <w:tmpl w:val="21865D42"/>
    <w:lvl w:ilvl="0">
      <w:start w:val="1"/>
      <w:numFmt w:val="lowerLetter"/>
      <w:lvlText w:val="%1)"/>
      <w:lvlJc w:val="left"/>
      <w:pPr>
        <w:tabs>
          <w:tab w:val="num" w:pos="540"/>
        </w:tabs>
        <w:ind w:left="540" w:hanging="360"/>
      </w:pPr>
      <w:rPr>
        <w:rFonts w:hint="default"/>
      </w:rPr>
    </w:lvl>
  </w:abstractNum>
  <w:abstractNum w:abstractNumId="5">
    <w:nsid w:val="0C514235"/>
    <w:multiLevelType w:val="singleLevel"/>
    <w:tmpl w:val="0AACB8C0"/>
    <w:lvl w:ilvl="0">
      <w:numFmt w:val="bullet"/>
      <w:lvlText w:val="-"/>
      <w:lvlJc w:val="left"/>
      <w:pPr>
        <w:tabs>
          <w:tab w:val="num" w:pos="360"/>
        </w:tabs>
        <w:ind w:left="360" w:hanging="360"/>
      </w:pPr>
      <w:rPr>
        <w:rFonts w:hint="default"/>
      </w:rPr>
    </w:lvl>
  </w:abstractNum>
  <w:abstractNum w:abstractNumId="6">
    <w:nsid w:val="0DC45CCA"/>
    <w:multiLevelType w:val="singleLevel"/>
    <w:tmpl w:val="0AACB8C0"/>
    <w:lvl w:ilvl="0">
      <w:numFmt w:val="bullet"/>
      <w:lvlText w:val="-"/>
      <w:lvlJc w:val="left"/>
      <w:pPr>
        <w:tabs>
          <w:tab w:val="num" w:pos="360"/>
        </w:tabs>
        <w:ind w:left="360" w:hanging="360"/>
      </w:pPr>
      <w:rPr>
        <w:rFonts w:hint="default"/>
      </w:rPr>
    </w:lvl>
  </w:abstractNum>
  <w:abstractNum w:abstractNumId="7">
    <w:nsid w:val="0EBC71FD"/>
    <w:multiLevelType w:val="singleLevel"/>
    <w:tmpl w:val="0AACB8C0"/>
    <w:lvl w:ilvl="0">
      <w:numFmt w:val="bullet"/>
      <w:lvlText w:val="-"/>
      <w:lvlJc w:val="left"/>
      <w:pPr>
        <w:tabs>
          <w:tab w:val="num" w:pos="360"/>
        </w:tabs>
        <w:ind w:left="360" w:hanging="360"/>
      </w:pPr>
      <w:rPr>
        <w:rFonts w:hint="default"/>
      </w:rPr>
    </w:lvl>
  </w:abstractNum>
  <w:abstractNum w:abstractNumId="8">
    <w:nsid w:val="181041A8"/>
    <w:multiLevelType w:val="multilevel"/>
    <w:tmpl w:val="CE8EBC90"/>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810"/>
        </w:tabs>
        <w:ind w:left="810" w:hanging="450"/>
      </w:pPr>
      <w:rPr>
        <w:rFonts w:hint="default"/>
        <w:b/>
      </w:rPr>
    </w:lvl>
    <w:lvl w:ilvl="2">
      <w:start w:val="2"/>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440"/>
        </w:tabs>
        <w:ind w:left="1440" w:hanging="108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1800"/>
        </w:tabs>
        <w:ind w:left="1800" w:hanging="1440"/>
      </w:pPr>
      <w:rPr>
        <w:rFonts w:hint="default"/>
        <w:b/>
      </w:rPr>
    </w:lvl>
  </w:abstractNum>
  <w:abstractNum w:abstractNumId="9">
    <w:nsid w:val="18A81961"/>
    <w:multiLevelType w:val="singleLevel"/>
    <w:tmpl w:val="82FC6934"/>
    <w:lvl w:ilvl="0">
      <w:start w:val="1"/>
      <w:numFmt w:val="lowerLetter"/>
      <w:lvlText w:val="%1)"/>
      <w:legacy w:legacy="1" w:legacySpace="0" w:legacyIndent="283"/>
      <w:lvlJc w:val="left"/>
      <w:pPr>
        <w:ind w:left="283" w:hanging="283"/>
      </w:pPr>
    </w:lvl>
  </w:abstractNum>
  <w:abstractNum w:abstractNumId="10">
    <w:nsid w:val="1A45018C"/>
    <w:multiLevelType w:val="singleLevel"/>
    <w:tmpl w:val="1FBA6EA6"/>
    <w:lvl w:ilvl="0">
      <w:start w:val="1"/>
      <w:numFmt w:val="bullet"/>
      <w:lvlText w:val="-"/>
      <w:lvlJc w:val="left"/>
      <w:pPr>
        <w:tabs>
          <w:tab w:val="num" w:pos="1068"/>
        </w:tabs>
        <w:ind w:left="1068" w:hanging="360"/>
      </w:pPr>
      <w:rPr>
        <w:rFonts w:hint="default"/>
      </w:rPr>
    </w:lvl>
  </w:abstractNum>
  <w:abstractNum w:abstractNumId="11">
    <w:nsid w:val="1C550DD0"/>
    <w:multiLevelType w:val="singleLevel"/>
    <w:tmpl w:val="0AACB8C0"/>
    <w:lvl w:ilvl="0">
      <w:numFmt w:val="bullet"/>
      <w:lvlText w:val="-"/>
      <w:lvlJc w:val="left"/>
      <w:pPr>
        <w:tabs>
          <w:tab w:val="num" w:pos="360"/>
        </w:tabs>
        <w:ind w:left="360" w:hanging="360"/>
      </w:pPr>
      <w:rPr>
        <w:rFonts w:hint="default"/>
      </w:rPr>
    </w:lvl>
  </w:abstractNum>
  <w:abstractNum w:abstractNumId="12">
    <w:nsid w:val="1ED45D32"/>
    <w:multiLevelType w:val="hybridMultilevel"/>
    <w:tmpl w:val="19401C96"/>
    <w:lvl w:ilvl="0" w:tplc="C9DCA778">
      <w:start w:val="1"/>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3">
    <w:nsid w:val="248D613F"/>
    <w:multiLevelType w:val="singleLevel"/>
    <w:tmpl w:val="FD984F08"/>
    <w:lvl w:ilvl="0">
      <w:start w:val="1"/>
      <w:numFmt w:val="bullet"/>
      <w:lvlText w:val="-"/>
      <w:lvlJc w:val="left"/>
      <w:pPr>
        <w:tabs>
          <w:tab w:val="num" w:pos="1068"/>
        </w:tabs>
        <w:ind w:left="1068" w:hanging="360"/>
      </w:pPr>
      <w:rPr>
        <w:rFonts w:hint="default"/>
      </w:rPr>
    </w:lvl>
  </w:abstractNum>
  <w:abstractNum w:abstractNumId="14">
    <w:nsid w:val="258C1C8C"/>
    <w:multiLevelType w:val="hybridMultilevel"/>
    <w:tmpl w:val="5E58B4AA"/>
    <w:lvl w:ilvl="0" w:tplc="89B09ACE">
      <w:start w:val="1"/>
      <w:numFmt w:val="decimal"/>
      <w:lvlText w:val="%1."/>
      <w:lvlJc w:val="left"/>
      <w:pPr>
        <w:ind w:left="720" w:hanging="360"/>
      </w:pPr>
      <w:rPr>
        <w:rFonts w:ascii="Verdana" w:hAnsi="Verdana" w:cs="Arial" w:hint="default"/>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08C3A3A"/>
    <w:multiLevelType w:val="singleLevel"/>
    <w:tmpl w:val="66B80844"/>
    <w:lvl w:ilvl="0">
      <w:start w:val="6"/>
      <w:numFmt w:val="lowerLetter"/>
      <w:lvlText w:val="%1)"/>
      <w:lvlJc w:val="left"/>
      <w:pPr>
        <w:tabs>
          <w:tab w:val="num" w:pos="360"/>
        </w:tabs>
        <w:ind w:left="360" w:hanging="360"/>
      </w:pPr>
      <w:rPr>
        <w:rFonts w:hint="default"/>
      </w:rPr>
    </w:lvl>
  </w:abstractNum>
  <w:abstractNum w:abstractNumId="16">
    <w:nsid w:val="33BE38CA"/>
    <w:multiLevelType w:val="singleLevel"/>
    <w:tmpl w:val="04150017"/>
    <w:lvl w:ilvl="0">
      <w:start w:val="1"/>
      <w:numFmt w:val="lowerLetter"/>
      <w:lvlText w:val="%1)"/>
      <w:lvlJc w:val="left"/>
      <w:pPr>
        <w:tabs>
          <w:tab w:val="num" w:pos="360"/>
        </w:tabs>
        <w:ind w:left="360" w:hanging="360"/>
      </w:pPr>
      <w:rPr>
        <w:rFonts w:hint="default"/>
      </w:rPr>
    </w:lvl>
  </w:abstractNum>
  <w:abstractNum w:abstractNumId="17">
    <w:nsid w:val="3683727A"/>
    <w:multiLevelType w:val="hybridMultilevel"/>
    <w:tmpl w:val="D73E05A8"/>
    <w:lvl w:ilvl="0" w:tplc="04150015">
      <w:start w:val="1"/>
      <w:numFmt w:val="upp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0C33E01"/>
    <w:multiLevelType w:val="singleLevel"/>
    <w:tmpl w:val="0AACB8C0"/>
    <w:lvl w:ilvl="0">
      <w:numFmt w:val="bullet"/>
      <w:lvlText w:val="-"/>
      <w:lvlJc w:val="left"/>
      <w:pPr>
        <w:tabs>
          <w:tab w:val="num" w:pos="360"/>
        </w:tabs>
        <w:ind w:left="360" w:hanging="360"/>
      </w:pPr>
      <w:rPr>
        <w:rFonts w:hint="default"/>
      </w:rPr>
    </w:lvl>
  </w:abstractNum>
  <w:abstractNum w:abstractNumId="19">
    <w:nsid w:val="490A409A"/>
    <w:multiLevelType w:val="hybridMultilevel"/>
    <w:tmpl w:val="464402B8"/>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98E16BA"/>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1">
    <w:nsid w:val="51E04DF5"/>
    <w:multiLevelType w:val="multilevel"/>
    <w:tmpl w:val="05247068"/>
    <w:lvl w:ilvl="0">
      <w:start w:val="1"/>
      <w:numFmt w:val="decimal"/>
      <w:lvlText w:val="%1."/>
      <w:legacy w:legacy="1" w:legacySpace="0" w:legacyIndent="0"/>
      <w:lvlJc w:val="left"/>
      <w:rPr>
        <w:b/>
      </w:rPr>
    </w:lvl>
    <w:lvl w:ilvl="1">
      <w:start w:val="3"/>
      <w:numFmt w:val="decimal"/>
      <w:lvlText w:val="%1.%2."/>
      <w:legacy w:legacy="1" w:legacySpace="120" w:legacyIndent="360"/>
      <w:lvlJc w:val="left"/>
      <w:pPr>
        <w:ind w:left="360" w:hanging="360"/>
      </w:pPr>
      <w:rPr>
        <w:b/>
      </w:rPr>
    </w:lvl>
    <w:lvl w:ilvl="2">
      <w:numFmt w:val="decimal"/>
      <w:lvlText w:val="1.4.%3."/>
      <w:legacy w:legacy="1" w:legacySpace="120" w:legacyIndent="720"/>
      <w:lvlJc w:val="left"/>
      <w:pPr>
        <w:ind w:left="1080" w:hanging="720"/>
      </w:pPr>
      <w:rPr>
        <w:b/>
      </w:rPr>
    </w:lvl>
    <w:lvl w:ilvl="3">
      <w:start w:val="1"/>
      <w:numFmt w:val="decimal"/>
      <w:lvlText w:val=".%4."/>
      <w:legacy w:legacy="1" w:legacySpace="0" w:legacyIndent="0"/>
      <w:lvlJc w:val="left"/>
      <w:rPr>
        <w:b/>
      </w:rPr>
    </w:lvl>
    <w:lvl w:ilvl="4">
      <w:start w:val="1"/>
      <w:numFmt w:val="decimal"/>
      <w:lvlText w:val=".%4.%5."/>
      <w:legacy w:legacy="1" w:legacySpace="0" w:legacyIndent="0"/>
      <w:lvlJc w:val="left"/>
      <w:rPr>
        <w:b/>
      </w:rPr>
    </w:lvl>
    <w:lvl w:ilvl="5">
      <w:start w:val="1"/>
      <w:numFmt w:val="decimal"/>
      <w:lvlText w:val=".%4.%5.%6."/>
      <w:legacy w:legacy="1" w:legacySpace="0" w:legacyIndent="0"/>
      <w:lvlJc w:val="left"/>
      <w:rPr>
        <w:b/>
      </w:rPr>
    </w:lvl>
    <w:lvl w:ilvl="6">
      <w:start w:val="1"/>
      <w:numFmt w:val="decimal"/>
      <w:lvlText w:val=".%4.%5.%6.%7."/>
      <w:legacy w:legacy="1" w:legacySpace="0" w:legacyIndent="0"/>
      <w:lvlJc w:val="left"/>
      <w:rPr>
        <w:b/>
      </w:rPr>
    </w:lvl>
    <w:lvl w:ilvl="7">
      <w:start w:val="1"/>
      <w:numFmt w:val="decimal"/>
      <w:lvlText w:val=".%4.%5.%6.%7.%8."/>
      <w:legacy w:legacy="1" w:legacySpace="0" w:legacyIndent="0"/>
      <w:lvlJc w:val="left"/>
      <w:rPr>
        <w:b/>
      </w:rPr>
    </w:lvl>
    <w:lvl w:ilvl="8">
      <w:start w:val="1"/>
      <w:numFmt w:val="decimal"/>
      <w:lvlText w:val=".%4.%5.%6.%7.%8.%9."/>
      <w:legacy w:legacy="1" w:legacySpace="120" w:legacyIndent="1800"/>
      <w:lvlJc w:val="left"/>
      <w:pPr>
        <w:ind w:left="2880" w:hanging="1800"/>
      </w:pPr>
      <w:rPr>
        <w:b/>
      </w:rPr>
    </w:lvl>
  </w:abstractNum>
  <w:abstractNum w:abstractNumId="22">
    <w:nsid w:val="541200B7"/>
    <w:multiLevelType w:val="singleLevel"/>
    <w:tmpl w:val="66B80844"/>
    <w:lvl w:ilvl="0">
      <w:start w:val="1"/>
      <w:numFmt w:val="lowerLetter"/>
      <w:lvlText w:val="%1)"/>
      <w:lvlJc w:val="left"/>
      <w:pPr>
        <w:tabs>
          <w:tab w:val="num" w:pos="360"/>
        </w:tabs>
        <w:ind w:left="360" w:hanging="360"/>
      </w:pPr>
    </w:lvl>
  </w:abstractNum>
  <w:abstractNum w:abstractNumId="23">
    <w:nsid w:val="58E93B9F"/>
    <w:multiLevelType w:val="hybridMultilevel"/>
    <w:tmpl w:val="6FA205E0"/>
    <w:lvl w:ilvl="0" w:tplc="B5203E6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DAA0409"/>
    <w:multiLevelType w:val="hybridMultilevel"/>
    <w:tmpl w:val="6BAC3A3C"/>
    <w:lvl w:ilvl="0" w:tplc="438479A4">
      <w:start w:val="1"/>
      <w:numFmt w:val="lowerLetter"/>
      <w:lvlText w:val="%1)"/>
      <w:lvlJc w:val="left"/>
      <w:pPr>
        <w:tabs>
          <w:tab w:val="num" w:pos="960"/>
        </w:tabs>
        <w:ind w:left="960" w:hanging="360"/>
      </w:pPr>
      <w:rPr>
        <w:rFonts w:hint="default"/>
      </w:rPr>
    </w:lvl>
    <w:lvl w:ilvl="1" w:tplc="88EAEC3E">
      <w:start w:val="1"/>
      <w:numFmt w:val="decimal"/>
      <w:lvlText w:val="%2."/>
      <w:lvlJc w:val="left"/>
      <w:pPr>
        <w:tabs>
          <w:tab w:val="num" w:pos="2040"/>
        </w:tabs>
        <w:ind w:left="2040" w:hanging="720"/>
      </w:pPr>
      <w:rPr>
        <w:rFonts w:hint="default"/>
      </w:r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25">
    <w:nsid w:val="5F7B3CE5"/>
    <w:multiLevelType w:val="hybridMultilevel"/>
    <w:tmpl w:val="E6FA9242"/>
    <w:lvl w:ilvl="0" w:tplc="5448CC8E">
      <w:start w:val="5"/>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nsid w:val="658906A2"/>
    <w:multiLevelType w:val="hybridMultilevel"/>
    <w:tmpl w:val="DF38055E"/>
    <w:lvl w:ilvl="0" w:tplc="0415000F">
      <w:start w:val="8"/>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6645004"/>
    <w:multiLevelType w:val="singleLevel"/>
    <w:tmpl w:val="0AACB8C0"/>
    <w:lvl w:ilvl="0">
      <w:numFmt w:val="bullet"/>
      <w:lvlText w:val="-"/>
      <w:lvlJc w:val="left"/>
      <w:pPr>
        <w:tabs>
          <w:tab w:val="num" w:pos="360"/>
        </w:tabs>
        <w:ind w:left="360" w:hanging="360"/>
      </w:pPr>
      <w:rPr>
        <w:rFonts w:hint="default"/>
      </w:rPr>
    </w:lvl>
  </w:abstractNum>
  <w:abstractNum w:abstractNumId="28">
    <w:nsid w:val="695078D2"/>
    <w:multiLevelType w:val="singleLevel"/>
    <w:tmpl w:val="21865D42"/>
    <w:lvl w:ilvl="0">
      <w:start w:val="1"/>
      <w:numFmt w:val="lowerLetter"/>
      <w:lvlText w:val="%1)"/>
      <w:lvlJc w:val="left"/>
      <w:pPr>
        <w:tabs>
          <w:tab w:val="num" w:pos="540"/>
        </w:tabs>
        <w:ind w:left="540" w:hanging="360"/>
      </w:pPr>
      <w:rPr>
        <w:rFonts w:hint="default"/>
      </w:rPr>
    </w:lvl>
  </w:abstractNum>
  <w:abstractNum w:abstractNumId="29">
    <w:nsid w:val="69942192"/>
    <w:multiLevelType w:val="singleLevel"/>
    <w:tmpl w:val="0AACB8C0"/>
    <w:lvl w:ilvl="0">
      <w:numFmt w:val="bullet"/>
      <w:lvlText w:val="-"/>
      <w:lvlJc w:val="left"/>
      <w:pPr>
        <w:tabs>
          <w:tab w:val="num" w:pos="360"/>
        </w:tabs>
        <w:ind w:left="360" w:hanging="360"/>
      </w:pPr>
      <w:rPr>
        <w:rFonts w:hint="default"/>
      </w:rPr>
    </w:lvl>
  </w:abstractNum>
  <w:abstractNum w:abstractNumId="30">
    <w:nsid w:val="6AE236E2"/>
    <w:multiLevelType w:val="hybridMultilevel"/>
    <w:tmpl w:val="AABEBB04"/>
    <w:lvl w:ilvl="0" w:tplc="0415000F">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nsid w:val="6B975594"/>
    <w:multiLevelType w:val="singleLevel"/>
    <w:tmpl w:val="0AACB8C0"/>
    <w:lvl w:ilvl="0">
      <w:numFmt w:val="bullet"/>
      <w:lvlText w:val="-"/>
      <w:lvlJc w:val="left"/>
      <w:pPr>
        <w:tabs>
          <w:tab w:val="num" w:pos="360"/>
        </w:tabs>
        <w:ind w:left="360" w:hanging="360"/>
      </w:pPr>
      <w:rPr>
        <w:rFonts w:hint="default"/>
      </w:rPr>
    </w:lvl>
  </w:abstractNum>
  <w:abstractNum w:abstractNumId="32">
    <w:nsid w:val="79C306CC"/>
    <w:multiLevelType w:val="singleLevel"/>
    <w:tmpl w:val="0AACB8C0"/>
    <w:lvl w:ilvl="0">
      <w:numFmt w:val="bullet"/>
      <w:lvlText w:val="-"/>
      <w:lvlJc w:val="left"/>
      <w:pPr>
        <w:tabs>
          <w:tab w:val="num" w:pos="360"/>
        </w:tabs>
        <w:ind w:left="360" w:hanging="360"/>
      </w:pPr>
      <w:rPr>
        <w:rFonts w:hint="default"/>
      </w:rPr>
    </w:lvl>
  </w:abstractNum>
  <w:abstractNum w:abstractNumId="33">
    <w:nsid w:val="7A37739B"/>
    <w:multiLevelType w:val="singleLevel"/>
    <w:tmpl w:val="0AACB8C0"/>
    <w:lvl w:ilvl="0">
      <w:numFmt w:val="bullet"/>
      <w:lvlText w:val="-"/>
      <w:lvlJc w:val="left"/>
      <w:pPr>
        <w:tabs>
          <w:tab w:val="num" w:pos="360"/>
        </w:tabs>
        <w:ind w:left="360" w:hanging="360"/>
      </w:pPr>
      <w:rPr>
        <w:rFonts w:hint="default"/>
      </w:rPr>
    </w:lvl>
  </w:abstractNum>
  <w:abstractNum w:abstractNumId="34">
    <w:nsid w:val="7DC009FD"/>
    <w:multiLevelType w:val="singleLevel"/>
    <w:tmpl w:val="0AACB8C0"/>
    <w:lvl w:ilvl="0">
      <w:numFmt w:val="bullet"/>
      <w:lvlText w:val="-"/>
      <w:lvlJc w:val="left"/>
      <w:pPr>
        <w:tabs>
          <w:tab w:val="num" w:pos="360"/>
        </w:tabs>
        <w:ind w:left="360" w:hanging="360"/>
      </w:pPr>
      <w:rPr>
        <w:rFonts w:hint="default"/>
      </w:rPr>
    </w:lvl>
  </w:abstractNum>
  <w:abstractNum w:abstractNumId="35">
    <w:nsid w:val="7E222F9C"/>
    <w:multiLevelType w:val="hybridMultilevel"/>
    <w:tmpl w:val="851AA9A8"/>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11"/>
  </w:num>
  <w:num w:numId="3">
    <w:abstractNumId w:val="6"/>
  </w:num>
  <w:num w:numId="4">
    <w:abstractNumId w:val="3"/>
  </w:num>
  <w:num w:numId="5">
    <w:abstractNumId w:val="27"/>
  </w:num>
  <w:num w:numId="6">
    <w:abstractNumId w:val="34"/>
  </w:num>
  <w:num w:numId="7">
    <w:abstractNumId w:val="22"/>
  </w:num>
  <w:num w:numId="8">
    <w:abstractNumId w:val="4"/>
  </w:num>
  <w:num w:numId="9">
    <w:abstractNumId w:val="7"/>
  </w:num>
  <w:num w:numId="10">
    <w:abstractNumId w:val="18"/>
  </w:num>
  <w:num w:numId="11">
    <w:abstractNumId w:val="31"/>
  </w:num>
  <w:num w:numId="12">
    <w:abstractNumId w:val="28"/>
  </w:num>
  <w:num w:numId="13">
    <w:abstractNumId w:val="29"/>
  </w:num>
  <w:num w:numId="14">
    <w:abstractNumId w:val="5"/>
  </w:num>
  <w:num w:numId="15">
    <w:abstractNumId w:val="15"/>
  </w:num>
  <w:num w:numId="16">
    <w:abstractNumId w:val="32"/>
  </w:num>
  <w:num w:numId="17">
    <w:abstractNumId w:val="33"/>
  </w:num>
  <w:num w:numId="18">
    <w:abstractNumId w:val="10"/>
  </w:num>
  <w:num w:numId="19">
    <w:abstractNumId w:val="13"/>
  </w:num>
  <w:num w:numId="20">
    <w:abstractNumId w:val="16"/>
  </w:num>
  <w:num w:numId="21">
    <w:abstractNumId w:val="17"/>
  </w:num>
  <w:num w:numId="22">
    <w:abstractNumId w:val="26"/>
  </w:num>
  <w:num w:numId="23">
    <w:abstractNumId w:val="23"/>
  </w:num>
  <w:num w:numId="24">
    <w:abstractNumId w:val="24"/>
  </w:num>
  <w:num w:numId="25">
    <w:abstractNumId w:val="21"/>
  </w:num>
  <w:num w:numId="26">
    <w:abstractNumId w:val="0"/>
    <w:lvlOverride w:ilvl="0">
      <w:lvl w:ilvl="0">
        <w:start w:val="1"/>
        <w:numFmt w:val="bullet"/>
        <w:lvlText w:val="-"/>
        <w:legacy w:legacy="1" w:legacySpace="120" w:legacyIndent="360"/>
        <w:lvlJc w:val="left"/>
        <w:pPr>
          <w:ind w:left="360" w:hanging="360"/>
        </w:pPr>
      </w:lvl>
    </w:lvlOverride>
  </w:num>
  <w:num w:numId="27">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28">
    <w:abstractNumId w:val="9"/>
  </w:num>
  <w:num w:numId="29">
    <w:abstractNumId w:val="8"/>
  </w:num>
  <w:num w:numId="30">
    <w:abstractNumId w:val="25"/>
  </w:num>
  <w:num w:numId="31">
    <w:abstractNumId w:val="12"/>
  </w:num>
  <w:num w:numId="32">
    <w:abstractNumId w:val="14"/>
  </w:num>
  <w:num w:numId="33">
    <w:abstractNumId w:val="1"/>
    <w:lvlOverride w:ilvl="0">
      <w:startOverride w:val="6"/>
    </w:lvlOverride>
    <w:lvlOverride w:ilvl="1"/>
    <w:lvlOverride w:ilvl="2"/>
    <w:lvlOverride w:ilvl="3"/>
    <w:lvlOverride w:ilvl="4"/>
    <w:lvlOverride w:ilvl="5"/>
    <w:lvlOverride w:ilvl="6"/>
    <w:lvlOverride w:ilvl="7"/>
    <w:lvlOverride w:ilvl="8"/>
  </w:num>
  <w:num w:numId="34">
    <w:abstractNumId w:val="19"/>
  </w:num>
  <w:num w:numId="35">
    <w:abstractNumId w:val="30"/>
  </w:num>
  <w:num w:numId="36">
    <w:abstractNumId w:val="35"/>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726"/>
    <w:rsid w:val="000170D3"/>
    <w:rsid w:val="000D7726"/>
    <w:rsid w:val="00270BDD"/>
    <w:rsid w:val="003D2999"/>
    <w:rsid w:val="00456F5F"/>
    <w:rsid w:val="0054454C"/>
    <w:rsid w:val="005624B6"/>
    <w:rsid w:val="00B24893"/>
    <w:rsid w:val="00DE76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pPr>
      <w:keepNext/>
      <w:jc w:val="right"/>
      <w:outlineLvl w:val="0"/>
    </w:pPr>
    <w:rPr>
      <w:sz w:val="24"/>
    </w:rPr>
  </w:style>
  <w:style w:type="paragraph" w:styleId="Nagwek2">
    <w:name w:val="heading 2"/>
    <w:basedOn w:val="Normalny"/>
    <w:next w:val="Normalny"/>
    <w:link w:val="Nagwek2Znak"/>
    <w:qFormat/>
    <w:pPr>
      <w:keepNext/>
      <w:jc w:val="center"/>
      <w:outlineLvl w:val="1"/>
    </w:pPr>
    <w:rPr>
      <w:b/>
      <w:sz w:val="36"/>
    </w:rPr>
  </w:style>
  <w:style w:type="paragraph" w:styleId="Nagwek3">
    <w:name w:val="heading 3"/>
    <w:basedOn w:val="Normalny"/>
    <w:next w:val="Normalny"/>
    <w:qFormat/>
    <w:pPr>
      <w:keepNext/>
      <w:autoSpaceDE w:val="0"/>
      <w:autoSpaceDN w:val="0"/>
      <w:spacing w:line="120" w:lineRule="atLeast"/>
      <w:jc w:val="center"/>
      <w:outlineLvl w:val="2"/>
    </w:pPr>
    <w:rPr>
      <w:b/>
      <w:bCs/>
      <w:sz w:val="28"/>
      <w:szCs w:val="28"/>
    </w:rPr>
  </w:style>
  <w:style w:type="paragraph" w:styleId="Nagwek4">
    <w:name w:val="heading 4"/>
    <w:basedOn w:val="Normalny"/>
    <w:next w:val="Normalny"/>
    <w:qFormat/>
    <w:pPr>
      <w:keepNext/>
      <w:pBdr>
        <w:bottom w:val="single" w:sz="4" w:space="1" w:color="auto"/>
      </w:pBdr>
      <w:tabs>
        <w:tab w:val="right" w:pos="9072"/>
      </w:tabs>
      <w:outlineLvl w:val="3"/>
    </w:pPr>
    <w:rPr>
      <w:b/>
      <w:i/>
    </w:rPr>
  </w:style>
  <w:style w:type="paragraph" w:styleId="Nagwek5">
    <w:name w:val="heading 5"/>
    <w:basedOn w:val="Normalny"/>
    <w:next w:val="Normalny"/>
    <w:qFormat/>
    <w:pPr>
      <w:keepNext/>
      <w:jc w:val="center"/>
      <w:outlineLvl w:val="4"/>
    </w:pPr>
    <w:rPr>
      <w:b/>
      <w:bCs/>
    </w:rPr>
  </w:style>
  <w:style w:type="paragraph" w:styleId="Nagwek6">
    <w:name w:val="heading 6"/>
    <w:basedOn w:val="Normalny"/>
    <w:next w:val="Normalny"/>
    <w:qFormat/>
    <w:pPr>
      <w:keepNext/>
      <w:jc w:val="center"/>
      <w:outlineLvl w:val="5"/>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ind w:firstLine="708"/>
      <w:jc w:val="both"/>
    </w:pPr>
    <w:rPr>
      <w:sz w:val="24"/>
    </w:rPr>
  </w:style>
  <w:style w:type="paragraph" w:customStyle="1" w:styleId="Plandokumentu">
    <w:name w:val="Plan dokumentu"/>
    <w:basedOn w:val="Normalny"/>
    <w:semiHidden/>
    <w:pPr>
      <w:shd w:val="clear" w:color="auto" w:fill="000080"/>
    </w:pPr>
    <w:rPr>
      <w:rFonts w:ascii="Tahoma" w:hAnsi="Tahoma"/>
    </w:rPr>
  </w:style>
  <w:style w:type="paragraph" w:styleId="Nagwek">
    <w:name w:val="header"/>
    <w:basedOn w:val="Normalny"/>
    <w:link w:val="NagwekZnak"/>
    <w:uiPriority w:val="99"/>
    <w:semiHidden/>
    <w:pPr>
      <w:tabs>
        <w:tab w:val="center" w:pos="4536"/>
        <w:tab w:val="right" w:pos="9072"/>
      </w:tabs>
    </w:pPr>
  </w:style>
  <w:style w:type="character" w:styleId="Numerstrony">
    <w:name w:val="page number"/>
    <w:basedOn w:val="Domylnaczcionkaakapitu"/>
    <w:semiHidden/>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semiHidden/>
    <w:pPr>
      <w:autoSpaceDE w:val="0"/>
      <w:autoSpaceDN w:val="0"/>
      <w:spacing w:line="120" w:lineRule="atLeast"/>
      <w:jc w:val="both"/>
    </w:pPr>
    <w:rPr>
      <w:rFonts w:ascii="Arial" w:hAnsi="Arial" w:cs="Arial"/>
      <w:sz w:val="24"/>
      <w:szCs w:val="24"/>
    </w:rPr>
  </w:style>
  <w:style w:type="paragraph" w:styleId="Tekstpodstawowywcity2">
    <w:name w:val="Body Text Indent 2"/>
    <w:basedOn w:val="Normalny"/>
    <w:semiHidden/>
    <w:pPr>
      <w:ind w:left="360"/>
      <w:jc w:val="both"/>
    </w:pPr>
    <w:rPr>
      <w:sz w:val="24"/>
    </w:rPr>
  </w:style>
  <w:style w:type="paragraph" w:styleId="Tekstpodstawowywcity3">
    <w:name w:val="Body Text Indent 3"/>
    <w:basedOn w:val="Normalny"/>
    <w:semiHidden/>
    <w:pPr>
      <w:ind w:firstLine="720"/>
      <w:jc w:val="center"/>
    </w:pPr>
    <w:rPr>
      <w:b/>
      <w:bCs/>
    </w:rPr>
  </w:style>
  <w:style w:type="paragraph" w:customStyle="1" w:styleId="StylIwony">
    <w:name w:val="Styl Iwony"/>
    <w:basedOn w:val="Normalny"/>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andardowytekst">
    <w:name w:val="Standardowy.tekst"/>
    <w:link w:val="StandardowytekstZnak"/>
    <w:pPr>
      <w:overflowPunct w:val="0"/>
      <w:autoSpaceDE w:val="0"/>
      <w:autoSpaceDN w:val="0"/>
      <w:adjustRightInd w:val="0"/>
      <w:jc w:val="both"/>
      <w:textAlignment w:val="baseline"/>
    </w:pPr>
  </w:style>
  <w:style w:type="paragraph" w:customStyle="1" w:styleId="Tekstpodstawowy21">
    <w:name w:val="Tekst podstawowy 21"/>
    <w:basedOn w:val="Normalny"/>
    <w:pPr>
      <w:overflowPunct w:val="0"/>
      <w:autoSpaceDE w:val="0"/>
      <w:autoSpaceDN w:val="0"/>
      <w:adjustRightInd w:val="0"/>
      <w:ind w:left="360"/>
      <w:jc w:val="both"/>
      <w:textAlignment w:val="baseline"/>
    </w:pPr>
  </w:style>
  <w:style w:type="paragraph" w:styleId="Tytu">
    <w:name w:val="Title"/>
    <w:basedOn w:val="Normalny"/>
    <w:qFormat/>
    <w:pPr>
      <w:tabs>
        <w:tab w:val="right" w:pos="9072"/>
      </w:tabs>
      <w:jc w:val="center"/>
    </w:pPr>
    <w:rPr>
      <w:b/>
      <w:bCs/>
      <w:sz w:val="24"/>
      <w:szCs w:val="24"/>
    </w:rPr>
  </w:style>
  <w:style w:type="paragraph" w:styleId="Tekstpodstawowy2">
    <w:name w:val="Body Text 2"/>
    <w:basedOn w:val="Normalny"/>
    <w:semiHidden/>
    <w:pPr>
      <w:jc w:val="both"/>
    </w:pPr>
    <w:rPr>
      <w:b/>
      <w:bCs/>
    </w:rPr>
  </w:style>
  <w:style w:type="character" w:customStyle="1" w:styleId="Document6">
    <w:name w:val="Document 6"/>
    <w:basedOn w:val="Domylnaczcionkaakapitu"/>
  </w:style>
  <w:style w:type="character" w:customStyle="1" w:styleId="StopkaZnak">
    <w:name w:val="Stopka Znak"/>
    <w:basedOn w:val="Domylnaczcionkaakapitu"/>
    <w:link w:val="Stopka"/>
    <w:uiPriority w:val="99"/>
  </w:style>
  <w:style w:type="character" w:customStyle="1" w:styleId="NagwekZnak">
    <w:name w:val="Nagłówek Znak"/>
    <w:link w:val="Nagwek"/>
    <w:uiPriority w:val="99"/>
    <w:semiHidden/>
  </w:style>
  <w:style w:type="character" w:customStyle="1" w:styleId="Nagwek1Znak">
    <w:name w:val="Nagłówek 1 Znak"/>
    <w:basedOn w:val="Domylnaczcionkaakapitu"/>
    <w:link w:val="Nagwek1"/>
    <w:rPr>
      <w:sz w:val="24"/>
    </w:rPr>
  </w:style>
  <w:style w:type="character" w:customStyle="1" w:styleId="Nagwek2Znak">
    <w:name w:val="Nagłówek 2 Znak"/>
    <w:basedOn w:val="Domylnaczcionkaakapitu"/>
    <w:link w:val="Nagwek2"/>
    <w:rPr>
      <w:b/>
      <w:sz w:val="36"/>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sz w:val="16"/>
      <w:szCs w:val="16"/>
    </w:rPr>
  </w:style>
  <w:style w:type="paragraph" w:styleId="Akapitzlist">
    <w:name w:val="List Paragraph"/>
    <w:basedOn w:val="Normalny"/>
    <w:uiPriority w:val="34"/>
    <w:qFormat/>
    <w:pPr>
      <w:ind w:left="708"/>
    </w:pPr>
    <w:rPr>
      <w:rFonts w:ascii="Calibri" w:eastAsia="Calibri" w:hAnsi="Calibri" w:cs="Arial"/>
    </w:rPr>
  </w:style>
  <w:style w:type="character" w:customStyle="1" w:styleId="StandardowytekstZnak">
    <w:name w:val="Standardowy.tekst Znak"/>
    <w:link w:val="Standardowytekst"/>
    <w:lock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pPr>
      <w:keepNext/>
      <w:jc w:val="right"/>
      <w:outlineLvl w:val="0"/>
    </w:pPr>
    <w:rPr>
      <w:sz w:val="24"/>
    </w:rPr>
  </w:style>
  <w:style w:type="paragraph" w:styleId="Nagwek2">
    <w:name w:val="heading 2"/>
    <w:basedOn w:val="Normalny"/>
    <w:next w:val="Normalny"/>
    <w:link w:val="Nagwek2Znak"/>
    <w:qFormat/>
    <w:pPr>
      <w:keepNext/>
      <w:jc w:val="center"/>
      <w:outlineLvl w:val="1"/>
    </w:pPr>
    <w:rPr>
      <w:b/>
      <w:sz w:val="36"/>
    </w:rPr>
  </w:style>
  <w:style w:type="paragraph" w:styleId="Nagwek3">
    <w:name w:val="heading 3"/>
    <w:basedOn w:val="Normalny"/>
    <w:next w:val="Normalny"/>
    <w:qFormat/>
    <w:pPr>
      <w:keepNext/>
      <w:autoSpaceDE w:val="0"/>
      <w:autoSpaceDN w:val="0"/>
      <w:spacing w:line="120" w:lineRule="atLeast"/>
      <w:jc w:val="center"/>
      <w:outlineLvl w:val="2"/>
    </w:pPr>
    <w:rPr>
      <w:b/>
      <w:bCs/>
      <w:sz w:val="28"/>
      <w:szCs w:val="28"/>
    </w:rPr>
  </w:style>
  <w:style w:type="paragraph" w:styleId="Nagwek4">
    <w:name w:val="heading 4"/>
    <w:basedOn w:val="Normalny"/>
    <w:next w:val="Normalny"/>
    <w:qFormat/>
    <w:pPr>
      <w:keepNext/>
      <w:pBdr>
        <w:bottom w:val="single" w:sz="4" w:space="1" w:color="auto"/>
      </w:pBdr>
      <w:tabs>
        <w:tab w:val="right" w:pos="9072"/>
      </w:tabs>
      <w:outlineLvl w:val="3"/>
    </w:pPr>
    <w:rPr>
      <w:b/>
      <w:i/>
    </w:rPr>
  </w:style>
  <w:style w:type="paragraph" w:styleId="Nagwek5">
    <w:name w:val="heading 5"/>
    <w:basedOn w:val="Normalny"/>
    <w:next w:val="Normalny"/>
    <w:qFormat/>
    <w:pPr>
      <w:keepNext/>
      <w:jc w:val="center"/>
      <w:outlineLvl w:val="4"/>
    </w:pPr>
    <w:rPr>
      <w:b/>
      <w:bCs/>
    </w:rPr>
  </w:style>
  <w:style w:type="paragraph" w:styleId="Nagwek6">
    <w:name w:val="heading 6"/>
    <w:basedOn w:val="Normalny"/>
    <w:next w:val="Normalny"/>
    <w:qFormat/>
    <w:pPr>
      <w:keepNext/>
      <w:jc w:val="center"/>
      <w:outlineLvl w:val="5"/>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pPr>
      <w:ind w:firstLine="708"/>
      <w:jc w:val="both"/>
    </w:pPr>
    <w:rPr>
      <w:sz w:val="24"/>
    </w:rPr>
  </w:style>
  <w:style w:type="paragraph" w:customStyle="1" w:styleId="Plandokumentu">
    <w:name w:val="Plan dokumentu"/>
    <w:basedOn w:val="Normalny"/>
    <w:semiHidden/>
    <w:pPr>
      <w:shd w:val="clear" w:color="auto" w:fill="000080"/>
    </w:pPr>
    <w:rPr>
      <w:rFonts w:ascii="Tahoma" w:hAnsi="Tahoma"/>
    </w:rPr>
  </w:style>
  <w:style w:type="paragraph" w:styleId="Nagwek">
    <w:name w:val="header"/>
    <w:basedOn w:val="Normalny"/>
    <w:link w:val="NagwekZnak"/>
    <w:uiPriority w:val="99"/>
    <w:semiHidden/>
    <w:pPr>
      <w:tabs>
        <w:tab w:val="center" w:pos="4536"/>
        <w:tab w:val="right" w:pos="9072"/>
      </w:tabs>
    </w:pPr>
  </w:style>
  <w:style w:type="character" w:styleId="Numerstrony">
    <w:name w:val="page number"/>
    <w:basedOn w:val="Domylnaczcionkaakapitu"/>
    <w:semiHidden/>
  </w:style>
  <w:style w:type="paragraph" w:styleId="Stopka">
    <w:name w:val="footer"/>
    <w:basedOn w:val="Normalny"/>
    <w:link w:val="StopkaZnak"/>
    <w:uiPriority w:val="99"/>
    <w:pPr>
      <w:tabs>
        <w:tab w:val="center" w:pos="4536"/>
        <w:tab w:val="right" w:pos="9072"/>
      </w:tabs>
    </w:pPr>
  </w:style>
  <w:style w:type="paragraph" w:styleId="Tekstpodstawowy">
    <w:name w:val="Body Text"/>
    <w:basedOn w:val="Normalny"/>
    <w:semiHidden/>
    <w:pPr>
      <w:autoSpaceDE w:val="0"/>
      <w:autoSpaceDN w:val="0"/>
      <w:spacing w:line="120" w:lineRule="atLeast"/>
      <w:jc w:val="both"/>
    </w:pPr>
    <w:rPr>
      <w:rFonts w:ascii="Arial" w:hAnsi="Arial" w:cs="Arial"/>
      <w:sz w:val="24"/>
      <w:szCs w:val="24"/>
    </w:rPr>
  </w:style>
  <w:style w:type="paragraph" w:styleId="Tekstpodstawowywcity2">
    <w:name w:val="Body Text Indent 2"/>
    <w:basedOn w:val="Normalny"/>
    <w:semiHidden/>
    <w:pPr>
      <w:ind w:left="360"/>
      <w:jc w:val="both"/>
    </w:pPr>
    <w:rPr>
      <w:sz w:val="24"/>
    </w:rPr>
  </w:style>
  <w:style w:type="paragraph" w:styleId="Tekstpodstawowywcity3">
    <w:name w:val="Body Text Indent 3"/>
    <w:basedOn w:val="Normalny"/>
    <w:semiHidden/>
    <w:pPr>
      <w:ind w:firstLine="720"/>
      <w:jc w:val="center"/>
    </w:pPr>
    <w:rPr>
      <w:b/>
      <w:bCs/>
    </w:rPr>
  </w:style>
  <w:style w:type="paragraph" w:customStyle="1" w:styleId="StylIwony">
    <w:name w:val="Styl Iwony"/>
    <w:basedOn w:val="Normalny"/>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Standardowytekst">
    <w:name w:val="Standardowy.tekst"/>
    <w:link w:val="StandardowytekstZnak"/>
    <w:pPr>
      <w:overflowPunct w:val="0"/>
      <w:autoSpaceDE w:val="0"/>
      <w:autoSpaceDN w:val="0"/>
      <w:adjustRightInd w:val="0"/>
      <w:jc w:val="both"/>
      <w:textAlignment w:val="baseline"/>
    </w:pPr>
  </w:style>
  <w:style w:type="paragraph" w:customStyle="1" w:styleId="Tekstpodstawowy21">
    <w:name w:val="Tekst podstawowy 21"/>
    <w:basedOn w:val="Normalny"/>
    <w:pPr>
      <w:overflowPunct w:val="0"/>
      <w:autoSpaceDE w:val="0"/>
      <w:autoSpaceDN w:val="0"/>
      <w:adjustRightInd w:val="0"/>
      <w:ind w:left="360"/>
      <w:jc w:val="both"/>
      <w:textAlignment w:val="baseline"/>
    </w:pPr>
  </w:style>
  <w:style w:type="paragraph" w:styleId="Tytu">
    <w:name w:val="Title"/>
    <w:basedOn w:val="Normalny"/>
    <w:qFormat/>
    <w:pPr>
      <w:tabs>
        <w:tab w:val="right" w:pos="9072"/>
      </w:tabs>
      <w:jc w:val="center"/>
    </w:pPr>
    <w:rPr>
      <w:b/>
      <w:bCs/>
      <w:sz w:val="24"/>
      <w:szCs w:val="24"/>
    </w:rPr>
  </w:style>
  <w:style w:type="paragraph" w:styleId="Tekstpodstawowy2">
    <w:name w:val="Body Text 2"/>
    <w:basedOn w:val="Normalny"/>
    <w:semiHidden/>
    <w:pPr>
      <w:jc w:val="both"/>
    </w:pPr>
    <w:rPr>
      <w:b/>
      <w:bCs/>
    </w:rPr>
  </w:style>
  <w:style w:type="character" w:customStyle="1" w:styleId="Document6">
    <w:name w:val="Document 6"/>
    <w:basedOn w:val="Domylnaczcionkaakapitu"/>
  </w:style>
  <w:style w:type="character" w:customStyle="1" w:styleId="StopkaZnak">
    <w:name w:val="Stopka Znak"/>
    <w:basedOn w:val="Domylnaczcionkaakapitu"/>
    <w:link w:val="Stopka"/>
    <w:uiPriority w:val="99"/>
  </w:style>
  <w:style w:type="character" w:customStyle="1" w:styleId="NagwekZnak">
    <w:name w:val="Nagłówek Znak"/>
    <w:link w:val="Nagwek"/>
    <w:uiPriority w:val="99"/>
    <w:semiHidden/>
  </w:style>
  <w:style w:type="character" w:customStyle="1" w:styleId="Nagwek1Znak">
    <w:name w:val="Nagłówek 1 Znak"/>
    <w:basedOn w:val="Domylnaczcionkaakapitu"/>
    <w:link w:val="Nagwek1"/>
    <w:rPr>
      <w:sz w:val="24"/>
    </w:rPr>
  </w:style>
  <w:style w:type="character" w:customStyle="1" w:styleId="Nagwek2Znak">
    <w:name w:val="Nagłówek 2 Znak"/>
    <w:basedOn w:val="Domylnaczcionkaakapitu"/>
    <w:link w:val="Nagwek2"/>
    <w:rPr>
      <w:b/>
      <w:sz w:val="36"/>
    </w:rPr>
  </w:style>
  <w:style w:type="paragraph" w:styleId="Tekstdymka">
    <w:name w:val="Balloon Text"/>
    <w:basedOn w:val="Normalny"/>
    <w:link w:val="TekstdymkaZnak"/>
    <w:uiPriority w:val="99"/>
    <w:semiHidden/>
    <w:unhideWhenUsed/>
    <w:rPr>
      <w:rFonts w:ascii="Tahoma" w:hAnsi="Tahoma" w:cs="Tahoma"/>
      <w:sz w:val="16"/>
      <w:szCs w:val="16"/>
    </w:rPr>
  </w:style>
  <w:style w:type="character" w:customStyle="1" w:styleId="TekstdymkaZnak">
    <w:name w:val="Tekst dymka Znak"/>
    <w:basedOn w:val="Domylnaczcionkaakapitu"/>
    <w:link w:val="Tekstdymka"/>
    <w:uiPriority w:val="99"/>
    <w:semiHidden/>
    <w:rPr>
      <w:rFonts w:ascii="Tahoma" w:hAnsi="Tahoma" w:cs="Tahoma"/>
      <w:sz w:val="16"/>
      <w:szCs w:val="16"/>
    </w:rPr>
  </w:style>
  <w:style w:type="paragraph" w:styleId="Akapitzlist">
    <w:name w:val="List Paragraph"/>
    <w:basedOn w:val="Normalny"/>
    <w:uiPriority w:val="34"/>
    <w:qFormat/>
    <w:pPr>
      <w:ind w:left="708"/>
    </w:pPr>
    <w:rPr>
      <w:rFonts w:ascii="Calibri" w:eastAsia="Calibri" w:hAnsi="Calibri" w:cs="Arial"/>
    </w:rPr>
  </w:style>
  <w:style w:type="character" w:customStyle="1" w:styleId="StandardowytekstZnak">
    <w:name w:val="Standardowy.tekst Znak"/>
    <w:link w:val="Standardowytekst"/>
    <w:lock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494209">
      <w:bodyDiv w:val="1"/>
      <w:marLeft w:val="0"/>
      <w:marRight w:val="0"/>
      <w:marTop w:val="0"/>
      <w:marBottom w:val="0"/>
      <w:divBdr>
        <w:top w:val="none" w:sz="0" w:space="0" w:color="auto"/>
        <w:left w:val="none" w:sz="0" w:space="0" w:color="auto"/>
        <w:bottom w:val="none" w:sz="0" w:space="0" w:color="auto"/>
        <w:right w:val="none" w:sz="0" w:space="0" w:color="auto"/>
      </w:divBdr>
    </w:div>
    <w:div w:id="892273930">
      <w:bodyDiv w:val="1"/>
      <w:marLeft w:val="0"/>
      <w:marRight w:val="0"/>
      <w:marTop w:val="0"/>
      <w:marBottom w:val="0"/>
      <w:divBdr>
        <w:top w:val="none" w:sz="0" w:space="0" w:color="auto"/>
        <w:left w:val="none" w:sz="0" w:space="0" w:color="auto"/>
        <w:bottom w:val="none" w:sz="0" w:space="0" w:color="auto"/>
        <w:right w:val="none" w:sz="0" w:space="0" w:color="auto"/>
      </w:divBdr>
    </w:div>
    <w:div w:id="1010529733">
      <w:bodyDiv w:val="1"/>
      <w:marLeft w:val="0"/>
      <w:marRight w:val="0"/>
      <w:marTop w:val="0"/>
      <w:marBottom w:val="0"/>
      <w:divBdr>
        <w:top w:val="none" w:sz="0" w:space="0" w:color="auto"/>
        <w:left w:val="none" w:sz="0" w:space="0" w:color="auto"/>
        <w:bottom w:val="none" w:sz="0" w:space="0" w:color="auto"/>
        <w:right w:val="none" w:sz="0" w:space="0" w:color="auto"/>
      </w:divBdr>
    </w:div>
    <w:div w:id="1237671458">
      <w:bodyDiv w:val="1"/>
      <w:marLeft w:val="0"/>
      <w:marRight w:val="0"/>
      <w:marTop w:val="0"/>
      <w:marBottom w:val="0"/>
      <w:divBdr>
        <w:top w:val="none" w:sz="0" w:space="0" w:color="auto"/>
        <w:left w:val="none" w:sz="0" w:space="0" w:color="auto"/>
        <w:bottom w:val="none" w:sz="0" w:space="0" w:color="auto"/>
        <w:right w:val="none" w:sz="0" w:space="0" w:color="auto"/>
      </w:divBdr>
    </w:div>
    <w:div w:id="1383216926">
      <w:bodyDiv w:val="1"/>
      <w:marLeft w:val="0"/>
      <w:marRight w:val="0"/>
      <w:marTop w:val="0"/>
      <w:marBottom w:val="0"/>
      <w:divBdr>
        <w:top w:val="none" w:sz="0" w:space="0" w:color="auto"/>
        <w:left w:val="none" w:sz="0" w:space="0" w:color="auto"/>
        <w:bottom w:val="none" w:sz="0" w:space="0" w:color="auto"/>
        <w:right w:val="none" w:sz="0" w:space="0" w:color="auto"/>
      </w:divBdr>
    </w:div>
    <w:div w:id="1905989708">
      <w:bodyDiv w:val="1"/>
      <w:marLeft w:val="0"/>
      <w:marRight w:val="0"/>
      <w:marTop w:val="0"/>
      <w:marBottom w:val="0"/>
      <w:divBdr>
        <w:top w:val="none" w:sz="0" w:space="0" w:color="auto"/>
        <w:left w:val="none" w:sz="0" w:space="0" w:color="auto"/>
        <w:bottom w:val="none" w:sz="0" w:space="0" w:color="auto"/>
        <w:right w:val="none" w:sz="0" w:space="0" w:color="auto"/>
      </w:divBdr>
    </w:div>
    <w:div w:id="1957330145">
      <w:bodyDiv w:val="1"/>
      <w:marLeft w:val="0"/>
      <w:marRight w:val="0"/>
      <w:marTop w:val="0"/>
      <w:marBottom w:val="0"/>
      <w:divBdr>
        <w:top w:val="none" w:sz="0" w:space="0" w:color="auto"/>
        <w:left w:val="none" w:sz="0" w:space="0" w:color="auto"/>
        <w:bottom w:val="none" w:sz="0" w:space="0" w:color="auto"/>
        <w:right w:val="none" w:sz="0" w:space="0" w:color="auto"/>
      </w:divBdr>
    </w:div>
    <w:div w:id="2008707165">
      <w:bodyDiv w:val="1"/>
      <w:marLeft w:val="0"/>
      <w:marRight w:val="0"/>
      <w:marTop w:val="0"/>
      <w:marBottom w:val="0"/>
      <w:divBdr>
        <w:top w:val="none" w:sz="0" w:space="0" w:color="auto"/>
        <w:left w:val="none" w:sz="0" w:space="0" w:color="auto"/>
        <w:bottom w:val="none" w:sz="0" w:space="0" w:color="auto"/>
        <w:right w:val="none" w:sz="0" w:space="0" w:color="auto"/>
      </w:divBdr>
    </w:div>
    <w:div w:id="213124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96E42-F101-40D9-9946-9BA7FAFD8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2891</Words>
  <Characters>17352</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D-0I</vt:lpstr>
    </vt:vector>
  </TitlesOfParts>
  <Company>DODP Rzeszow</Company>
  <LinksUpToDate>false</LinksUpToDate>
  <CharactersWithSpaces>20203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D-0I</dc:title>
  <dc:creator>DODP Rzeszow</dc:creator>
  <cp:lastModifiedBy>Staszek</cp:lastModifiedBy>
  <cp:revision>6</cp:revision>
  <cp:lastPrinted>2019-07-11T06:21:00Z</cp:lastPrinted>
  <dcterms:created xsi:type="dcterms:W3CDTF">2018-12-05T17:52:00Z</dcterms:created>
  <dcterms:modified xsi:type="dcterms:W3CDTF">2020-10-29T13:55:00Z</dcterms:modified>
</cp:coreProperties>
</file>