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A356AD" w:rsidP="00A356AD">
      <w:pPr>
        <w:pStyle w:val="Nagwek3"/>
        <w:jc w:val="center"/>
        <w:rPr>
          <w:sz w:val="36"/>
          <w:szCs w:val="36"/>
        </w:rPr>
      </w:pPr>
      <w:bookmarkStart w:id="0" w:name="_Toc125431417"/>
      <w:r w:rsidRPr="00C833D9">
        <w:rPr>
          <w:sz w:val="36"/>
          <w:szCs w:val="36"/>
        </w:rPr>
        <w:t>M-29.15.01</w:t>
      </w:r>
    </w:p>
    <w:p w:rsidR="00A356AD" w:rsidRDefault="00A356AD" w:rsidP="00BB1E71">
      <w:pPr>
        <w:pStyle w:val="Nagwek3"/>
      </w:pPr>
    </w:p>
    <w:p w:rsidR="00BB1E71" w:rsidRDefault="00BB1E71" w:rsidP="00BB1E71">
      <w:pPr>
        <w:pStyle w:val="Nagwek3"/>
      </w:pPr>
      <w:r>
        <w:tab/>
        <w:t xml:space="preserve">UMOCNIENIE SKARP </w:t>
      </w:r>
      <w:bookmarkEnd w:id="0"/>
      <w:r w:rsidR="00D56EC9">
        <w:t>ROWÓW PŁYTAMI  AŻUROWYMI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BB1E71" w:rsidRDefault="00BB1E71" w:rsidP="00BB1E71">
      <w:pPr>
        <w:pStyle w:val="11txt"/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D56EC9">
        <w:rPr>
          <w:b/>
        </w:rPr>
        <w:t>„</w:t>
      </w:r>
      <w:r w:rsidR="00D56EC9">
        <w:rPr>
          <w:b/>
          <w:sz w:val="22"/>
          <w:szCs w:val="22"/>
        </w:rPr>
        <w:t>Remont dróg gminnych oraz placów na terenie Gminy Radomyśl Wielki, finansowan</w:t>
      </w:r>
      <w:r w:rsidR="00B67672">
        <w:rPr>
          <w:b/>
          <w:sz w:val="22"/>
          <w:szCs w:val="22"/>
        </w:rPr>
        <w:t>ych z Funduszu Sołeckiego w 2015</w:t>
      </w:r>
      <w:bookmarkStart w:id="1" w:name="_GoBack"/>
      <w:bookmarkEnd w:id="1"/>
      <w:r w:rsidR="00D56EC9">
        <w:rPr>
          <w:b/>
          <w:sz w:val="22"/>
          <w:szCs w:val="22"/>
        </w:rPr>
        <w:t xml:space="preserve"> r.</w:t>
      </w:r>
      <w:r w:rsidR="00D56EC9">
        <w:rPr>
          <w:sz w:val="22"/>
          <w:szCs w:val="22"/>
        </w:rPr>
        <w:t>”</w:t>
      </w:r>
      <w:r w:rsidR="00D56EC9">
        <w:t xml:space="preserve">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 z umocnień skarp rowów w obrębie przepustów i obejmują</w:t>
      </w:r>
      <w:r>
        <w:t>:</w:t>
      </w:r>
    </w:p>
    <w:p w:rsidR="00BB1E71" w:rsidRDefault="007529E3" w:rsidP="007529E3">
      <w:pPr>
        <w:pStyle w:val="111wyliczanie"/>
        <w:numPr>
          <w:ilvl w:val="0"/>
          <w:numId w:val="2"/>
        </w:numPr>
        <w:ind w:left="0" w:firstLine="0"/>
      </w:pPr>
      <w:r>
        <w:t xml:space="preserve">Umocnienie skarp rowów w obrębie przepustów z płyt ażurowych betonowych niezbrojonych  na podsypce piaskowej gr 5 cm  z  wypełnieniem wolnych przestrzeni humusem i obsianiem trawą </w:t>
      </w: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</w:pPr>
      <w:r>
        <w:t>Płyta ażurowa jak na szkicu poniżej:</w:t>
      </w: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BB1E71" w:rsidRDefault="00162396" w:rsidP="00BB1E71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na podsypce piaskowej gr. 5 cm. </w:t>
      </w:r>
    </w:p>
    <w:p w:rsidR="00BB1E71" w:rsidRDefault="0076339D" w:rsidP="00BB1E71">
      <w:pPr>
        <w:jc w:val="both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924550" cy="4190203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073" cy="418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68B" w:rsidRDefault="002C068B" w:rsidP="00BB1E71">
      <w:pPr>
        <w:pStyle w:val="Nagwek5"/>
      </w:pPr>
      <w:r>
        <w:t>Uwaga: Nie stosować krawężników. Płyty od dołu ustawić na  korytkach ściekowych.</w:t>
      </w:r>
    </w:p>
    <w:p w:rsidR="002C068B" w:rsidRPr="004B451E" w:rsidRDefault="002C068B" w:rsidP="002C068B">
      <w:pPr>
        <w:pStyle w:val="Wcicienormalne"/>
        <w:rPr>
          <w:b/>
        </w:rPr>
      </w:pPr>
      <w:r>
        <w:t xml:space="preserve">  </w:t>
      </w:r>
      <w:r w:rsidRPr="004B451E">
        <w:rPr>
          <w:b/>
        </w:rPr>
        <w:t>Płyty przed ewentualnym osuwaniem w trakcie montażu</w:t>
      </w:r>
      <w:r w:rsidR="001E63E5" w:rsidRPr="004B451E">
        <w:rPr>
          <w:b/>
        </w:rPr>
        <w:t xml:space="preserve"> zabezpieczyć wbijając </w:t>
      </w:r>
      <w:r w:rsidR="004B451E">
        <w:rPr>
          <w:b/>
        </w:rPr>
        <w:t xml:space="preserve">     </w:t>
      </w:r>
      <w:r w:rsidR="001E63E5" w:rsidRPr="004B451E">
        <w:rPr>
          <w:b/>
        </w:rPr>
        <w:t xml:space="preserve">kołki drewniane o dług. minim. </w:t>
      </w:r>
      <w:r w:rsidR="004B451E" w:rsidRPr="004B451E">
        <w:rPr>
          <w:b/>
        </w:rPr>
        <w:t>40 cm i średnicy  2,5 cm.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lastRenderedPageBreak/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162396"/>
    <w:rsid w:val="001720C5"/>
    <w:rsid w:val="001B53E2"/>
    <w:rsid w:val="001E63E5"/>
    <w:rsid w:val="002242A0"/>
    <w:rsid w:val="00234074"/>
    <w:rsid w:val="002C068B"/>
    <w:rsid w:val="003D11EE"/>
    <w:rsid w:val="004B451E"/>
    <w:rsid w:val="00536CB1"/>
    <w:rsid w:val="00621B8F"/>
    <w:rsid w:val="007529E3"/>
    <w:rsid w:val="0076339D"/>
    <w:rsid w:val="00887F5A"/>
    <w:rsid w:val="0097494A"/>
    <w:rsid w:val="00A356AD"/>
    <w:rsid w:val="00B67672"/>
    <w:rsid w:val="00BB1E71"/>
    <w:rsid w:val="00BE44A8"/>
    <w:rsid w:val="00C833D9"/>
    <w:rsid w:val="00D56EC9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39275-0556-4650-922C-0B789969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24</cp:revision>
  <dcterms:created xsi:type="dcterms:W3CDTF">2014-01-23T09:14:00Z</dcterms:created>
  <dcterms:modified xsi:type="dcterms:W3CDTF">2015-01-08T08:00:00Z</dcterms:modified>
</cp:coreProperties>
</file>