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F0" w:rsidRPr="00070E89" w:rsidRDefault="000E3D60" w:rsidP="00050DF0">
      <w:pPr>
        <w:jc w:val="righ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Radomyśl Wielki, 30</w:t>
      </w:r>
      <w:r w:rsidR="00050DF0">
        <w:rPr>
          <w:rFonts w:asciiTheme="majorHAnsi" w:hAnsiTheme="majorHAnsi" w:cs="Times New Roman"/>
        </w:rPr>
        <w:t>.0</w:t>
      </w:r>
      <w:r w:rsidR="008977B2">
        <w:rPr>
          <w:rFonts w:asciiTheme="majorHAnsi" w:hAnsiTheme="majorHAnsi" w:cs="Times New Roman"/>
        </w:rPr>
        <w:t>9</w:t>
      </w:r>
      <w:r w:rsidR="00050DF0">
        <w:rPr>
          <w:rFonts w:asciiTheme="majorHAnsi" w:hAnsiTheme="majorHAnsi" w:cs="Times New Roman"/>
        </w:rPr>
        <w:t>.2022</w:t>
      </w:r>
    </w:p>
    <w:p w:rsidR="00050DF0" w:rsidRPr="00070E89" w:rsidRDefault="00050DF0" w:rsidP="00050DF0">
      <w:pPr>
        <w:jc w:val="both"/>
        <w:rPr>
          <w:rFonts w:asciiTheme="majorHAnsi" w:hAnsiTheme="majorHAnsi" w:cs="Times New Roman"/>
          <w:b/>
        </w:rPr>
      </w:pPr>
      <w:r w:rsidRPr="00070E89">
        <w:rPr>
          <w:rFonts w:asciiTheme="majorHAnsi" w:hAnsiTheme="majorHAnsi" w:cs="Times New Roman"/>
          <w:b/>
        </w:rPr>
        <w:t>Zamawiający:</w:t>
      </w:r>
    </w:p>
    <w:p w:rsidR="00050DF0" w:rsidRPr="002B17AE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Gmina Radomyśl Wielki</w:t>
      </w:r>
    </w:p>
    <w:p w:rsidR="00050DF0" w:rsidRPr="002B17AE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ul. Rynek 32</w:t>
      </w:r>
    </w:p>
    <w:p w:rsidR="00050DF0" w:rsidRPr="00070E89" w:rsidRDefault="00050DF0" w:rsidP="00050DF0">
      <w:pPr>
        <w:jc w:val="both"/>
        <w:rPr>
          <w:rFonts w:asciiTheme="majorHAnsi" w:hAnsiTheme="majorHAnsi" w:cs="Times New Roman"/>
          <w:bCs/>
        </w:rPr>
      </w:pPr>
      <w:r w:rsidRPr="002B17AE">
        <w:rPr>
          <w:rFonts w:asciiTheme="majorHAnsi" w:hAnsiTheme="majorHAnsi" w:cs="Times New Roman"/>
          <w:bCs/>
        </w:rPr>
        <w:t>39-310 Radomyśl Wielki</w:t>
      </w:r>
    </w:p>
    <w:p w:rsidR="00050DF0" w:rsidRDefault="00050DF0" w:rsidP="00050DF0">
      <w:pPr>
        <w:tabs>
          <w:tab w:val="left" w:pos="6096"/>
        </w:tabs>
        <w:jc w:val="both"/>
        <w:rPr>
          <w:rFonts w:asciiTheme="majorHAnsi" w:hAnsiTheme="majorHAnsi" w:cs="Times New Roman"/>
        </w:rPr>
      </w:pPr>
      <w:bookmarkStart w:id="0" w:name="_GoBack"/>
      <w:bookmarkEnd w:id="0"/>
    </w:p>
    <w:p w:rsidR="00050DF0" w:rsidRDefault="00050DF0" w:rsidP="00050DF0">
      <w:pPr>
        <w:tabs>
          <w:tab w:val="left" w:pos="6096"/>
        </w:tabs>
        <w:jc w:val="both"/>
        <w:rPr>
          <w:rFonts w:asciiTheme="majorHAnsi" w:hAnsiTheme="majorHAnsi" w:cs="Times New Roman"/>
        </w:rPr>
      </w:pPr>
    </w:p>
    <w:p w:rsidR="008977B2" w:rsidRPr="002C128E" w:rsidRDefault="008977B2" w:rsidP="008977B2">
      <w:pPr>
        <w:ind w:left="1134" w:hanging="1134"/>
        <w:jc w:val="both"/>
        <w:rPr>
          <w:rFonts w:asciiTheme="majorHAnsi" w:hAnsiTheme="majorHAnsi"/>
          <w:b/>
          <w:bCs/>
        </w:rPr>
      </w:pPr>
      <w:r w:rsidRPr="002C128E">
        <w:rPr>
          <w:rFonts w:asciiTheme="majorHAnsi" w:hAnsiTheme="majorHAnsi"/>
        </w:rPr>
        <w:t xml:space="preserve">Dotyczy: </w:t>
      </w:r>
      <w:r w:rsidRPr="002C128E">
        <w:rPr>
          <w:rFonts w:asciiTheme="majorHAnsi" w:hAnsiTheme="majorHAnsi"/>
        </w:rPr>
        <w:tab/>
        <w:t>postępowania o udzielenie zamówienia publicznego pn.: „</w:t>
      </w:r>
      <w:r w:rsidRPr="00AF1A35">
        <w:rPr>
          <w:rFonts w:asciiTheme="majorHAnsi" w:hAnsiTheme="majorHAnsi"/>
          <w:b/>
        </w:rPr>
        <w:t>Kompleksowa dostawa paliwa</w:t>
      </w:r>
      <w:r>
        <w:rPr>
          <w:rFonts w:asciiTheme="majorHAnsi" w:hAnsiTheme="majorHAnsi"/>
          <w:b/>
        </w:rPr>
        <w:t xml:space="preserve"> gazowego </w:t>
      </w:r>
      <w:r w:rsidRPr="002C128E">
        <w:rPr>
          <w:rFonts w:asciiTheme="majorHAnsi" w:hAnsiTheme="majorHAnsi"/>
          <w:b/>
        </w:rPr>
        <w:t xml:space="preserve">dla </w:t>
      </w:r>
      <w:r w:rsidRPr="002C128E">
        <w:rPr>
          <w:rFonts w:asciiTheme="majorHAnsi" w:hAnsiTheme="majorHAnsi"/>
          <w:b/>
          <w:bCs/>
        </w:rPr>
        <w:t xml:space="preserve">Grupy Zakupowej Gminy </w:t>
      </w:r>
      <w:r>
        <w:rPr>
          <w:rFonts w:asciiTheme="majorHAnsi" w:hAnsiTheme="majorHAnsi" w:cs="Times New Roman"/>
          <w:b/>
          <w:bCs/>
        </w:rPr>
        <w:t>Radomyśl Wielki</w:t>
      </w:r>
      <w:r w:rsidRPr="002C128E">
        <w:rPr>
          <w:rFonts w:asciiTheme="majorHAnsi" w:hAnsiTheme="majorHAnsi"/>
        </w:rPr>
        <w:t xml:space="preserve">”, znak: </w:t>
      </w:r>
      <w:r>
        <w:rPr>
          <w:rFonts w:asciiTheme="majorHAnsi" w:hAnsiTheme="majorHAnsi"/>
        </w:rPr>
        <w:t>BI.I.271.10</w:t>
      </w:r>
      <w:r w:rsidRPr="002B17AE">
        <w:rPr>
          <w:rFonts w:asciiTheme="majorHAnsi" w:hAnsiTheme="majorHAnsi"/>
        </w:rPr>
        <w:t>.2022</w:t>
      </w:r>
    </w:p>
    <w:p w:rsidR="008977B2" w:rsidRDefault="008977B2" w:rsidP="008977B2">
      <w:pPr>
        <w:ind w:left="1134" w:hanging="1134"/>
        <w:jc w:val="both"/>
        <w:rPr>
          <w:rFonts w:asciiTheme="majorHAnsi" w:hAnsiTheme="majorHAnsi"/>
          <w:bCs/>
        </w:rPr>
      </w:pPr>
    </w:p>
    <w:p w:rsidR="00DE48B5" w:rsidRPr="002C128E" w:rsidRDefault="00DE48B5" w:rsidP="00DE48B5">
      <w:pPr>
        <w:ind w:left="1134" w:hanging="1134"/>
        <w:jc w:val="both"/>
        <w:rPr>
          <w:rFonts w:asciiTheme="majorHAnsi" w:hAnsiTheme="majorHAnsi"/>
          <w:bCs/>
        </w:rPr>
      </w:pPr>
    </w:p>
    <w:p w:rsidR="00B979B0" w:rsidRDefault="00DE48B5" w:rsidP="00DE48B5">
      <w:pPr>
        <w:jc w:val="center"/>
        <w:rPr>
          <w:rFonts w:asciiTheme="majorHAnsi" w:hAnsiTheme="majorHAnsi"/>
          <w:b/>
          <w:bCs/>
          <w:i/>
          <w:sz w:val="22"/>
        </w:rPr>
      </w:pPr>
      <w:r w:rsidRPr="00EA26C3">
        <w:rPr>
          <w:rFonts w:asciiTheme="majorHAnsi" w:hAnsiTheme="majorHAnsi"/>
          <w:b/>
          <w:bCs/>
          <w:i/>
          <w:sz w:val="22"/>
        </w:rPr>
        <w:t>Zmiana zapisów treści SWZ</w:t>
      </w:r>
      <w:r w:rsidR="00B979B0">
        <w:rPr>
          <w:rFonts w:asciiTheme="majorHAnsi" w:hAnsiTheme="majorHAnsi"/>
          <w:b/>
          <w:bCs/>
          <w:i/>
          <w:sz w:val="22"/>
        </w:rPr>
        <w:t xml:space="preserve"> </w:t>
      </w:r>
    </w:p>
    <w:p w:rsidR="000E3D60" w:rsidRPr="00EA26C3" w:rsidRDefault="00EC40F7" w:rsidP="00DE48B5">
      <w:pPr>
        <w:jc w:val="center"/>
        <w:rPr>
          <w:rFonts w:asciiTheme="majorHAnsi" w:hAnsiTheme="majorHAnsi"/>
          <w:b/>
          <w:bCs/>
          <w:i/>
          <w:sz w:val="22"/>
        </w:rPr>
      </w:pPr>
      <w:r>
        <w:rPr>
          <w:rFonts w:asciiTheme="majorHAnsi" w:hAnsiTheme="majorHAnsi"/>
          <w:b/>
          <w:bCs/>
          <w:i/>
          <w:sz w:val="22"/>
        </w:rPr>
        <w:t>-3</w:t>
      </w:r>
      <w:r w:rsidR="000E3D60">
        <w:rPr>
          <w:rFonts w:asciiTheme="majorHAnsi" w:hAnsiTheme="majorHAnsi"/>
          <w:b/>
          <w:bCs/>
          <w:i/>
          <w:sz w:val="22"/>
        </w:rPr>
        <w:t xml:space="preserve"> -</w:t>
      </w:r>
    </w:p>
    <w:p w:rsidR="00DE48B5" w:rsidRDefault="00DE48B5" w:rsidP="00DE48B5">
      <w:pPr>
        <w:jc w:val="both"/>
        <w:rPr>
          <w:rFonts w:asciiTheme="majorHAnsi" w:hAnsiTheme="majorHAnsi"/>
          <w:b/>
          <w:color w:val="002060"/>
        </w:rPr>
      </w:pPr>
    </w:p>
    <w:p w:rsidR="00DE48B5" w:rsidRPr="00EA26C3" w:rsidRDefault="00DE48B5" w:rsidP="00DE48B5">
      <w:pPr>
        <w:ind w:firstLine="708"/>
        <w:jc w:val="both"/>
        <w:rPr>
          <w:rFonts w:asciiTheme="majorHAnsi" w:eastAsia="Calibri" w:hAnsiTheme="majorHAnsi"/>
        </w:rPr>
      </w:pPr>
      <w:r w:rsidRPr="00EA26C3">
        <w:rPr>
          <w:rFonts w:asciiTheme="majorHAnsi" w:eastAsia="Calibri" w:hAnsiTheme="majorHAnsi"/>
        </w:rPr>
        <w:t xml:space="preserve">Zamawiający działając na podstawie art. 137 ust. 1 ustawy </w:t>
      </w:r>
      <w:r w:rsidRPr="00EA26C3">
        <w:rPr>
          <w:rFonts w:asciiTheme="majorHAnsi" w:hAnsiTheme="majorHAnsi"/>
        </w:rPr>
        <w:t>z dnia 11 września 2019 r. Prawo zamówień publicznych (tekst jedn. Dz. U. z 202</w:t>
      </w:r>
      <w:r>
        <w:rPr>
          <w:rFonts w:asciiTheme="majorHAnsi" w:hAnsiTheme="majorHAnsi"/>
        </w:rPr>
        <w:t>2</w:t>
      </w:r>
      <w:r w:rsidRPr="00EA26C3">
        <w:rPr>
          <w:rFonts w:asciiTheme="majorHAnsi" w:hAnsiTheme="majorHAnsi"/>
        </w:rPr>
        <w:t xml:space="preserve"> r. poz. 1</w:t>
      </w:r>
      <w:r>
        <w:rPr>
          <w:rFonts w:asciiTheme="majorHAnsi" w:hAnsiTheme="majorHAnsi"/>
        </w:rPr>
        <w:t>710</w:t>
      </w:r>
      <w:r w:rsidRPr="00EA26C3">
        <w:rPr>
          <w:rFonts w:asciiTheme="majorHAnsi" w:hAnsiTheme="majorHAnsi"/>
        </w:rPr>
        <w:t>)</w:t>
      </w:r>
      <w:r w:rsidRPr="00EA26C3">
        <w:rPr>
          <w:rFonts w:asciiTheme="majorHAnsi" w:eastAsia="Calibri" w:hAnsiTheme="majorHAnsi"/>
        </w:rPr>
        <w:t>, dokonuje zmiany treści Specyfikacji Warunków Zamówienia (SWZ), w zakresie jak niżej:</w:t>
      </w:r>
    </w:p>
    <w:p w:rsidR="00DE48B5" w:rsidRDefault="00DE48B5" w:rsidP="00DE48B5">
      <w:pPr>
        <w:jc w:val="both"/>
        <w:rPr>
          <w:rFonts w:asciiTheme="majorHAnsi" w:hAnsiTheme="majorHAnsi" w:cs="Cambria,Bold"/>
          <w:b/>
          <w:bCs/>
        </w:rPr>
      </w:pPr>
    </w:p>
    <w:p w:rsidR="00DE48B5" w:rsidRPr="006830EE" w:rsidRDefault="00DE48B5" w:rsidP="00DE48B5">
      <w:pPr>
        <w:jc w:val="both"/>
        <w:rPr>
          <w:rFonts w:asciiTheme="majorHAnsi" w:hAnsiTheme="majorHAnsi"/>
          <w:u w:val="single"/>
        </w:rPr>
      </w:pPr>
      <w:r w:rsidRPr="006830EE">
        <w:rPr>
          <w:rFonts w:asciiTheme="majorHAnsi" w:hAnsiTheme="majorHAnsi"/>
          <w:u w:val="single"/>
        </w:rPr>
        <w:t>ZMIANA TREŚCI SWZ NR 1</w:t>
      </w:r>
    </w:p>
    <w:p w:rsidR="00DE48B5" w:rsidRPr="0013523F" w:rsidRDefault="00DE48B5" w:rsidP="00DE48B5">
      <w:pPr>
        <w:rPr>
          <w:rFonts w:asciiTheme="majorHAnsi" w:hAnsiTheme="majorHAnsi"/>
        </w:rPr>
      </w:pPr>
      <w:r w:rsidRPr="0013523F">
        <w:rPr>
          <w:rFonts w:asciiTheme="majorHAnsi" w:hAnsiTheme="majorHAnsi"/>
        </w:rPr>
        <w:t>Zamawiający dokonuje zmiany treści załącznika nr 2 do SWZ – wykaz punktów poboru</w:t>
      </w:r>
    </w:p>
    <w:p w:rsidR="00E54B60" w:rsidRDefault="00E54B60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 xml:space="preserve">Zmianie ulega </w:t>
      </w:r>
      <w:r w:rsidR="00EC40F7">
        <w:rPr>
          <w:rFonts w:asciiTheme="majorHAnsi" w:hAnsiTheme="majorHAnsi" w:cstheme="minorHAnsi"/>
          <w:color w:val="000000" w:themeColor="text1"/>
        </w:rPr>
        <w:t xml:space="preserve">udział procentowy </w:t>
      </w:r>
      <w:r>
        <w:rPr>
          <w:rFonts w:asciiTheme="majorHAnsi" w:hAnsiTheme="majorHAnsi" w:cstheme="minorHAnsi"/>
          <w:color w:val="000000" w:themeColor="text1"/>
        </w:rPr>
        <w:t>w kolumnie o nazwie:</w:t>
      </w:r>
    </w:p>
    <w:p w:rsidR="00E54B60" w:rsidRDefault="00E54B60" w:rsidP="00E54B60">
      <w:pPr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„</w:t>
      </w:r>
      <w:r w:rsidRPr="00E54B60">
        <w:rPr>
          <w:rFonts w:asciiTheme="majorHAnsi" w:hAnsiTheme="majorHAnsi" w:cstheme="minorHAnsi"/>
          <w:color w:val="000000" w:themeColor="text1"/>
        </w:rPr>
        <w:t>Odbiorca należy do podmiotów objętych ochroną taryfową na podstawie art. 62b ust. 1 pkt 2 ustawy z dnia 10 kwietnia 1997 r. - Prawo energetyczne</w:t>
      </w:r>
      <w:r>
        <w:rPr>
          <w:rFonts w:asciiTheme="majorHAnsi" w:hAnsiTheme="majorHAnsi" w:cstheme="minorHAnsi"/>
          <w:color w:val="000000" w:themeColor="text1"/>
        </w:rPr>
        <w:t>”</w:t>
      </w:r>
    </w:p>
    <w:p w:rsidR="00EC40F7" w:rsidRDefault="00EC40F7" w:rsidP="00E54B60">
      <w:pPr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dla obiektów niechronionych (bez stosowania taryfy)</w:t>
      </w:r>
    </w:p>
    <w:p w:rsidR="00683B22" w:rsidRPr="00EC40F7" w:rsidRDefault="00EC40F7" w:rsidP="00E54B60">
      <w:pPr>
        <w:rPr>
          <w:rFonts w:asciiTheme="majorHAnsi" w:hAnsiTheme="majorHAnsi" w:cstheme="minorHAnsi"/>
          <w:b/>
          <w:color w:val="000000" w:themeColor="text1"/>
        </w:rPr>
      </w:pPr>
      <w:r w:rsidRPr="00EC40F7">
        <w:rPr>
          <w:rFonts w:asciiTheme="majorHAnsi" w:hAnsiTheme="majorHAnsi" w:cstheme="minorHAnsi"/>
          <w:b/>
          <w:color w:val="000000" w:themeColor="text1"/>
        </w:rPr>
        <w:t>Dla pozycji nr 118</w:t>
      </w:r>
    </w:p>
    <w:p w:rsidR="00683B22" w:rsidRPr="00E54B60" w:rsidRDefault="00EC40F7" w:rsidP="00E54B60">
      <w:pPr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>było: „37,79%”</w:t>
      </w:r>
    </w:p>
    <w:p w:rsidR="00E54B60" w:rsidRPr="00EC40F7" w:rsidRDefault="00EC40F7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  <w:r w:rsidRPr="00EC40F7">
        <w:rPr>
          <w:rFonts w:asciiTheme="majorHAnsi" w:hAnsiTheme="majorHAnsi" w:cstheme="minorHAnsi"/>
          <w:b/>
          <w:color w:val="000000" w:themeColor="text1"/>
        </w:rPr>
        <w:t>jest: „37,39%</w:t>
      </w:r>
      <w:r w:rsidR="00683B22" w:rsidRPr="00EC40F7">
        <w:rPr>
          <w:rFonts w:asciiTheme="majorHAnsi" w:hAnsiTheme="majorHAnsi" w:cstheme="minorHAnsi"/>
          <w:b/>
          <w:color w:val="000000" w:themeColor="text1"/>
        </w:rPr>
        <w:t>”</w:t>
      </w:r>
    </w:p>
    <w:p w:rsidR="00683B22" w:rsidRDefault="00EC40F7" w:rsidP="00EC40F7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</w:rPr>
        <w:t xml:space="preserve">Dane dotyczące zużycia są prawidłowe i nie </w:t>
      </w:r>
      <w:r w:rsidR="00683B22">
        <w:rPr>
          <w:rFonts w:asciiTheme="majorHAnsi" w:hAnsiTheme="majorHAnsi" w:cstheme="minorHAnsi"/>
          <w:color w:val="000000" w:themeColor="text1"/>
        </w:rPr>
        <w:t>ulega</w:t>
      </w:r>
      <w:r>
        <w:rPr>
          <w:rFonts w:asciiTheme="majorHAnsi" w:hAnsiTheme="majorHAnsi" w:cstheme="minorHAnsi"/>
          <w:color w:val="000000" w:themeColor="text1"/>
        </w:rPr>
        <w:t>ją</w:t>
      </w:r>
      <w:r w:rsidR="00683B22">
        <w:rPr>
          <w:rFonts w:asciiTheme="majorHAnsi" w:hAnsiTheme="majorHAnsi" w:cstheme="minorHAnsi"/>
          <w:color w:val="000000" w:themeColor="text1"/>
        </w:rPr>
        <w:t xml:space="preserve"> zmianie.</w:t>
      </w:r>
    </w:p>
    <w:p w:rsidR="00683B22" w:rsidRDefault="00683B22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color w:val="000000" w:themeColor="text1"/>
        </w:rPr>
      </w:pPr>
      <w:r w:rsidRPr="006830EE">
        <w:rPr>
          <w:rFonts w:asciiTheme="majorHAnsi" w:hAnsiTheme="majorHAnsi" w:cstheme="minorHAnsi"/>
          <w:color w:val="000000" w:themeColor="text1"/>
        </w:rPr>
        <w:t xml:space="preserve">Wprowadzone zmiany zostały oznaczone </w:t>
      </w:r>
      <w:r>
        <w:rPr>
          <w:rFonts w:asciiTheme="majorHAnsi" w:hAnsiTheme="majorHAnsi" w:cstheme="minorHAnsi"/>
          <w:color w:val="000000" w:themeColor="text1"/>
        </w:rPr>
        <w:t xml:space="preserve">kolorem </w:t>
      </w:r>
      <w:r w:rsidR="00EC40F7">
        <w:rPr>
          <w:rFonts w:asciiTheme="majorHAnsi" w:hAnsiTheme="majorHAnsi" w:cstheme="minorHAnsi"/>
          <w:color w:val="000000" w:themeColor="text1"/>
        </w:rPr>
        <w:t>fioletowym</w:t>
      </w:r>
    </w:p>
    <w:p w:rsidR="00DE48B5" w:rsidRPr="006830EE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  <w:r w:rsidRPr="006830EE">
        <w:rPr>
          <w:rFonts w:asciiTheme="majorHAnsi" w:hAnsiTheme="majorHAnsi" w:cstheme="minorHAnsi"/>
          <w:color w:val="000000" w:themeColor="text1"/>
        </w:rPr>
        <w:t>w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Pr="006830EE">
        <w:rPr>
          <w:rFonts w:asciiTheme="majorHAnsi" w:hAnsiTheme="majorHAnsi" w:cstheme="minorHAnsi"/>
          <w:b/>
          <w:color w:val="000000" w:themeColor="text1"/>
        </w:rPr>
        <w:t>„Z</w:t>
      </w:r>
      <w:r w:rsidRPr="006830EE">
        <w:rPr>
          <w:rFonts w:asciiTheme="majorHAnsi" w:hAnsiTheme="majorHAnsi"/>
          <w:b/>
        </w:rPr>
        <w:t>ałącznik nr 2 do SWZ – wykaz punktów poboru-ZMIE</w:t>
      </w:r>
      <w:r>
        <w:rPr>
          <w:rFonts w:asciiTheme="majorHAnsi" w:hAnsiTheme="majorHAnsi"/>
          <w:b/>
        </w:rPr>
        <w:t>NIONY</w:t>
      </w:r>
      <w:r w:rsidR="00E54B60">
        <w:rPr>
          <w:rFonts w:asciiTheme="majorHAnsi" w:hAnsiTheme="majorHAnsi"/>
          <w:b/>
        </w:rPr>
        <w:t xml:space="preserve"> – wersja </w:t>
      </w:r>
      <w:r w:rsidR="00EC40F7">
        <w:rPr>
          <w:rFonts w:asciiTheme="majorHAnsi" w:hAnsiTheme="majorHAnsi"/>
          <w:b/>
        </w:rPr>
        <w:t>3</w:t>
      </w:r>
      <w:r>
        <w:rPr>
          <w:rFonts w:asciiTheme="majorHAnsi" w:hAnsiTheme="majorHAnsi"/>
          <w:b/>
        </w:rPr>
        <w:t>”</w:t>
      </w:r>
    </w:p>
    <w:p w:rsidR="00DE48B5" w:rsidRDefault="00DE48B5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</w:p>
    <w:p w:rsidR="00F172BC" w:rsidRDefault="00F172BC" w:rsidP="00DE48B5">
      <w:pPr>
        <w:widowControl/>
        <w:autoSpaceDE/>
        <w:autoSpaceDN/>
        <w:adjustRightInd/>
        <w:jc w:val="both"/>
        <w:rPr>
          <w:rFonts w:asciiTheme="majorHAnsi" w:hAnsiTheme="majorHAnsi" w:cstheme="minorHAnsi"/>
          <w:b/>
          <w:color w:val="000000" w:themeColor="text1"/>
        </w:rPr>
      </w:pPr>
    </w:p>
    <w:p w:rsidR="00DE48B5" w:rsidRDefault="00DE48B5" w:rsidP="00DE48B5">
      <w:pPr>
        <w:jc w:val="both"/>
        <w:rPr>
          <w:rFonts w:asciiTheme="majorHAnsi" w:hAnsiTheme="majorHAnsi"/>
          <w:b/>
          <w:lang w:bidi="pl-PL"/>
        </w:rPr>
      </w:pPr>
      <w:r w:rsidRPr="00070E89">
        <w:rPr>
          <w:rFonts w:asciiTheme="majorHAnsi" w:hAnsiTheme="majorHAnsi"/>
          <w:b/>
          <w:lang w:bidi="pl-PL"/>
        </w:rPr>
        <w:t xml:space="preserve">Powyższe </w:t>
      </w:r>
      <w:r>
        <w:rPr>
          <w:rFonts w:asciiTheme="majorHAnsi" w:hAnsiTheme="majorHAnsi"/>
          <w:b/>
          <w:lang w:bidi="pl-PL"/>
        </w:rPr>
        <w:t xml:space="preserve">zmiany </w:t>
      </w:r>
      <w:r w:rsidRPr="00070E89">
        <w:rPr>
          <w:rFonts w:asciiTheme="majorHAnsi" w:hAnsiTheme="majorHAnsi"/>
          <w:b/>
          <w:lang w:bidi="pl-PL"/>
        </w:rPr>
        <w:t xml:space="preserve">są wiążące dla Wykonawców oraz Zamawiającego </w:t>
      </w:r>
      <w:r>
        <w:rPr>
          <w:rFonts w:asciiTheme="majorHAnsi" w:hAnsiTheme="majorHAnsi"/>
          <w:b/>
          <w:lang w:bidi="pl-PL"/>
        </w:rPr>
        <w:t>i stanowią integralną część SWZ.</w:t>
      </w:r>
    </w:p>
    <w:p w:rsidR="00B979B0" w:rsidRPr="00AF1A35" w:rsidRDefault="00B979B0" w:rsidP="00DE48B5">
      <w:pPr>
        <w:jc w:val="both"/>
        <w:rPr>
          <w:rFonts w:asciiTheme="majorHAnsi" w:hAnsiTheme="majorHAnsi"/>
          <w:b/>
          <w:lang w:bidi="pl-PL"/>
        </w:rPr>
      </w:pPr>
      <w:r>
        <w:rPr>
          <w:rFonts w:asciiTheme="majorHAnsi" w:hAnsiTheme="majorHAnsi"/>
          <w:b/>
          <w:lang w:bidi="pl-PL"/>
        </w:rPr>
        <w:t>Termin składania i otwarcia pozostaje bez zmian.</w:t>
      </w:r>
    </w:p>
    <w:sectPr w:rsidR="00B979B0" w:rsidRPr="00AF1A35" w:rsidSect="00B979B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-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9D64277"/>
    <w:multiLevelType w:val="hybridMultilevel"/>
    <w:tmpl w:val="07D86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72161"/>
    <w:multiLevelType w:val="hybridMultilevel"/>
    <w:tmpl w:val="9A285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C0E7D"/>
    <w:multiLevelType w:val="hybridMultilevel"/>
    <w:tmpl w:val="1A0A403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570A6230"/>
    <w:multiLevelType w:val="multilevel"/>
    <w:tmpl w:val="F93E4290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mbria" w:eastAsia="Times New Roman" w:hAnsi="Cambria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agwek8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FCF4D9B"/>
    <w:multiLevelType w:val="hybridMultilevel"/>
    <w:tmpl w:val="534AD248"/>
    <w:lvl w:ilvl="0" w:tplc="DBE46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F9"/>
    <w:rsid w:val="0002049B"/>
    <w:rsid w:val="00050DF0"/>
    <w:rsid w:val="00085CE3"/>
    <w:rsid w:val="000E3D60"/>
    <w:rsid w:val="001F553B"/>
    <w:rsid w:val="002A67D1"/>
    <w:rsid w:val="002E34C6"/>
    <w:rsid w:val="005F7CDD"/>
    <w:rsid w:val="00683B22"/>
    <w:rsid w:val="007567FF"/>
    <w:rsid w:val="00800642"/>
    <w:rsid w:val="008660F3"/>
    <w:rsid w:val="008977B2"/>
    <w:rsid w:val="00897836"/>
    <w:rsid w:val="00A71904"/>
    <w:rsid w:val="00AF1A35"/>
    <w:rsid w:val="00B979B0"/>
    <w:rsid w:val="00B979B1"/>
    <w:rsid w:val="00BD1C08"/>
    <w:rsid w:val="00DA17F9"/>
    <w:rsid w:val="00DE48B5"/>
    <w:rsid w:val="00E54B60"/>
    <w:rsid w:val="00E5658C"/>
    <w:rsid w:val="00E72D73"/>
    <w:rsid w:val="00E96713"/>
    <w:rsid w:val="00EC40F7"/>
    <w:rsid w:val="00EF514E"/>
    <w:rsid w:val="00F1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7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67FF"/>
    <w:pPr>
      <w:keepNext/>
      <w:keepLines/>
      <w:numPr>
        <w:numId w:val="18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67FF"/>
    <w:pPr>
      <w:keepNext/>
      <w:keepLines/>
      <w:numPr>
        <w:ilvl w:val="1"/>
        <w:numId w:val="18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567FF"/>
    <w:pPr>
      <w:keepNext/>
      <w:keepLines/>
      <w:numPr>
        <w:ilvl w:val="2"/>
        <w:numId w:val="18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567FF"/>
    <w:pPr>
      <w:keepNext/>
      <w:keepLines/>
      <w:numPr>
        <w:ilvl w:val="3"/>
        <w:numId w:val="18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567FF"/>
    <w:pPr>
      <w:keepNext/>
      <w:keepLines/>
      <w:numPr>
        <w:ilvl w:val="4"/>
        <w:numId w:val="18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567FF"/>
    <w:pPr>
      <w:keepNext/>
      <w:keepLines/>
      <w:numPr>
        <w:ilvl w:val="5"/>
        <w:numId w:val="18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567FF"/>
    <w:pPr>
      <w:keepNext/>
      <w:keepLines/>
      <w:numPr>
        <w:ilvl w:val="6"/>
        <w:numId w:val="18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7567FF"/>
    <w:pPr>
      <w:keepNext/>
      <w:keepLines/>
      <w:numPr>
        <w:ilvl w:val="7"/>
        <w:numId w:val="1"/>
      </w:numPr>
      <w:spacing w:before="200" w:line="276" w:lineRule="auto"/>
      <w:ind w:left="1440" w:hanging="1440"/>
      <w:outlineLvl w:val="7"/>
    </w:pPr>
    <w:rPr>
      <w:rFonts w:ascii="Cambria" w:eastAsia="SimSun" w:hAnsi="Cambria" w:cs="Times New Roman"/>
      <w:color w:val="404040"/>
    </w:rPr>
  </w:style>
  <w:style w:type="paragraph" w:styleId="Nagwek9">
    <w:name w:val="heading 9"/>
    <w:basedOn w:val="Normalny"/>
    <w:next w:val="Normalny"/>
    <w:link w:val="Nagwek9Znak"/>
    <w:unhideWhenUsed/>
    <w:qFormat/>
    <w:rsid w:val="007567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7567FF"/>
    <w:pPr>
      <w:numPr>
        <w:numId w:val="19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7567FF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567FF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567FF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567FF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567FF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7FF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7FF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7567FF"/>
    <w:pPr>
      <w:widowControl/>
      <w:jc w:val="center"/>
    </w:pPr>
    <w:rPr>
      <w:rFonts w:cs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7567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L1,Numerowanie,Akapit z listą5,CW_Lista,Podsis rysunku,Normalny PDST,lp1,Preambuła,HŁ_Bullet1,Rozdział,T_SZ_List Paragraph,Akapit z listą BS,normalny tekst,List Paragraph2,List Paragraph,maz_wyliczenie,opis dzialania,K-P_odwolanie,Dot pt"/>
    <w:basedOn w:val="Normalny"/>
    <w:link w:val="AkapitzlistZnak"/>
    <w:uiPriority w:val="34"/>
    <w:qFormat/>
    <w:rsid w:val="007567FF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aliases w:val="L1 Znak,Numerowanie Znak,Akapit z listą5 Znak,CW_Lista Znak,Podsis rysunku Znak,Normalny PDST Znak,lp1 Znak,Preambuła Znak,HŁ_Bullet1 Znak,Rozdział Znak,T_SZ_List Paragraph Znak,Akapit z listą BS Znak,normalny tekst Znak,Dot pt Znak"/>
    <w:link w:val="Akapitzlist"/>
    <w:uiPriority w:val="34"/>
    <w:qFormat/>
    <w:locked/>
    <w:rsid w:val="007567FF"/>
    <w:rPr>
      <w:rFonts w:ascii="Times New Roman" w:eastAsia="Times New Roman" w:hAnsi="Times New Roman" w:cs="Times New Roman"/>
      <w:kern w:val="3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7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67FF"/>
    <w:pPr>
      <w:keepNext/>
      <w:keepLines/>
      <w:numPr>
        <w:numId w:val="18"/>
      </w:numPr>
      <w:spacing w:before="480" w:line="276" w:lineRule="auto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67FF"/>
    <w:pPr>
      <w:keepNext/>
      <w:keepLines/>
      <w:numPr>
        <w:ilvl w:val="1"/>
        <w:numId w:val="18"/>
      </w:numPr>
      <w:spacing w:before="200" w:line="276" w:lineRule="auto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567FF"/>
    <w:pPr>
      <w:keepNext/>
      <w:keepLines/>
      <w:numPr>
        <w:ilvl w:val="2"/>
        <w:numId w:val="18"/>
      </w:numPr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567FF"/>
    <w:pPr>
      <w:keepNext/>
      <w:keepLines/>
      <w:numPr>
        <w:ilvl w:val="3"/>
        <w:numId w:val="18"/>
      </w:numPr>
      <w:spacing w:before="200" w:line="276" w:lineRule="auto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567FF"/>
    <w:pPr>
      <w:keepNext/>
      <w:keepLines/>
      <w:numPr>
        <w:ilvl w:val="4"/>
        <w:numId w:val="18"/>
      </w:numPr>
      <w:spacing w:before="200" w:line="276" w:lineRule="auto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567FF"/>
    <w:pPr>
      <w:keepNext/>
      <w:keepLines/>
      <w:numPr>
        <w:ilvl w:val="5"/>
        <w:numId w:val="18"/>
      </w:numPr>
      <w:spacing w:before="200" w:line="276" w:lineRule="auto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567FF"/>
    <w:pPr>
      <w:keepNext/>
      <w:keepLines/>
      <w:numPr>
        <w:ilvl w:val="6"/>
        <w:numId w:val="18"/>
      </w:numPr>
      <w:spacing w:before="200" w:line="276" w:lineRule="auto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7567FF"/>
    <w:pPr>
      <w:keepNext/>
      <w:keepLines/>
      <w:numPr>
        <w:ilvl w:val="7"/>
        <w:numId w:val="1"/>
      </w:numPr>
      <w:spacing w:before="200" w:line="276" w:lineRule="auto"/>
      <w:ind w:left="1440" w:hanging="1440"/>
      <w:outlineLvl w:val="7"/>
    </w:pPr>
    <w:rPr>
      <w:rFonts w:ascii="Cambria" w:eastAsia="SimSun" w:hAnsi="Cambria" w:cs="Times New Roman"/>
      <w:color w:val="404040"/>
    </w:rPr>
  </w:style>
  <w:style w:type="paragraph" w:styleId="Nagwek9">
    <w:name w:val="heading 9"/>
    <w:basedOn w:val="Normalny"/>
    <w:next w:val="Normalny"/>
    <w:link w:val="Nagwek9Znak"/>
    <w:unhideWhenUsed/>
    <w:qFormat/>
    <w:rsid w:val="007567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7567FF"/>
    <w:pPr>
      <w:numPr>
        <w:numId w:val="19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7567FF"/>
    <w:rPr>
      <w:rFonts w:ascii="Calibri" w:eastAsia="SimSun" w:hAnsi="Calibri" w:cs="Times New Roman"/>
      <w:b/>
      <w:bCs/>
      <w:kern w:val="3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567FF"/>
    <w:rPr>
      <w:rFonts w:ascii="Cambria" w:eastAsia="SimSun" w:hAnsi="Cambria" w:cs="Times New Roman"/>
      <w:b/>
      <w:bCs/>
      <w:color w:val="4F81BD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567FF"/>
    <w:rPr>
      <w:rFonts w:ascii="Cambria" w:eastAsia="SimSun" w:hAnsi="Cambria" w:cs="Times New Roman"/>
      <w:b/>
      <w:bCs/>
      <w:i/>
      <w:iCs/>
      <w:color w:val="4F81BD"/>
      <w:kern w:val="3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567FF"/>
    <w:rPr>
      <w:rFonts w:ascii="Cambria" w:eastAsia="SimSun" w:hAnsi="Cambria" w:cs="Times New Roman"/>
      <w:color w:val="243F60"/>
      <w:kern w:val="3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567FF"/>
    <w:rPr>
      <w:rFonts w:ascii="Cambria" w:eastAsia="SimSun" w:hAnsi="Cambria" w:cs="Times New Roman"/>
      <w:i/>
      <w:iCs/>
      <w:color w:val="243F60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567FF"/>
    <w:rPr>
      <w:rFonts w:ascii="Cambria" w:eastAsia="SimSun" w:hAnsi="Cambria" w:cs="Times New Roman"/>
      <w:i/>
      <w:iCs/>
      <w:color w:val="404040"/>
      <w:kern w:val="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567FF"/>
    <w:rPr>
      <w:rFonts w:ascii="Cambria" w:eastAsia="SimSun" w:hAnsi="Cambria" w:cs="Times New Roman"/>
      <w:color w:val="404040"/>
      <w:kern w:val="3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567FF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7567FF"/>
    <w:pPr>
      <w:widowControl/>
      <w:jc w:val="center"/>
    </w:pPr>
    <w:rPr>
      <w:rFonts w:cs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7567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L1,Numerowanie,Akapit z listą5,CW_Lista,Podsis rysunku,Normalny PDST,lp1,Preambuła,HŁ_Bullet1,Rozdział,T_SZ_List Paragraph,Akapit z listą BS,normalny tekst,List Paragraph2,List Paragraph,maz_wyliczenie,opis dzialania,K-P_odwolanie,Dot pt"/>
    <w:basedOn w:val="Normalny"/>
    <w:link w:val="AkapitzlistZnak"/>
    <w:uiPriority w:val="34"/>
    <w:qFormat/>
    <w:rsid w:val="007567FF"/>
    <w:pPr>
      <w:ind w:left="720"/>
      <w:contextualSpacing/>
    </w:pPr>
    <w:rPr>
      <w:rFonts w:cs="Times New Roman"/>
    </w:rPr>
  </w:style>
  <w:style w:type="character" w:customStyle="1" w:styleId="AkapitzlistZnak">
    <w:name w:val="Akapit z listą Znak"/>
    <w:aliases w:val="L1 Znak,Numerowanie Znak,Akapit z listą5 Znak,CW_Lista Znak,Podsis rysunku Znak,Normalny PDST Znak,lp1 Znak,Preambuła Znak,HŁ_Bullet1 Znak,Rozdział Znak,T_SZ_List Paragraph Znak,Akapit z listą BS Znak,normalny tekst Znak,Dot pt Znak"/>
    <w:link w:val="Akapitzlist"/>
    <w:uiPriority w:val="34"/>
    <w:qFormat/>
    <w:locked/>
    <w:rsid w:val="007567FF"/>
    <w:rPr>
      <w:rFonts w:ascii="Times New Roman" w:eastAsia="Times New Roman" w:hAnsi="Times New Roman" w:cs="Times New Roman"/>
      <w:kern w:val="3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2022-09-30T11:01:00Z</dcterms:created>
  <dcterms:modified xsi:type="dcterms:W3CDTF">2022-09-30T11:07:00Z</dcterms:modified>
</cp:coreProperties>
</file>